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7" w:lineRule="auto"/>
        <w:jc w:val="both"/>
        <w:rPr>
          <w:rFonts w:hint="eastAsia" w:ascii="方正小标宋简体" w:eastAsia="方正小标宋简体"/>
          <w:sz w:val="36"/>
          <w:szCs w:val="36"/>
          <w:lang w:val="en-US" w:eastAsia="zh-CN"/>
        </w:rPr>
      </w:pPr>
      <w:r>
        <w:rPr>
          <w:rFonts w:hint="eastAsia" w:ascii="方正小标宋简体" w:eastAsia="方正小标宋简体"/>
          <w:sz w:val="36"/>
          <w:szCs w:val="36"/>
          <w:lang w:val="en-US" w:eastAsia="zh-CN"/>
        </w:rPr>
        <w:drawing>
          <wp:inline distT="0" distB="0" distL="114300" distR="114300">
            <wp:extent cx="1703070" cy="555625"/>
            <wp:effectExtent l="0" t="0" r="3810" b="8255"/>
            <wp:docPr id="12" name="图片 85" descr="84def54cf5e38a65396a57b4b4bb0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5" descr="84def54cf5e38a65396a57b4b4bb0d9"/>
                    <pic:cNvPicPr>
                      <a:picLocks noChangeAspect="1"/>
                    </pic:cNvPicPr>
                  </pic:nvPicPr>
                  <pic:blipFill>
                    <a:blip r:embed="rId7"/>
                    <a:srcRect t="27844" b="26048"/>
                    <a:stretch>
                      <a:fillRect/>
                    </a:stretch>
                  </pic:blipFill>
                  <pic:spPr>
                    <a:xfrm>
                      <a:off x="0" y="0"/>
                      <a:ext cx="1703070" cy="555625"/>
                    </a:xfrm>
                    <a:prstGeom prst="rect">
                      <a:avLst/>
                    </a:prstGeom>
                    <a:noFill/>
                    <a:ln>
                      <a:noFill/>
                    </a:ln>
                  </pic:spPr>
                </pic:pic>
              </a:graphicData>
            </a:graphic>
          </wp:inline>
        </w:drawing>
      </w:r>
      <w:r>
        <w:rPr>
          <w:rFonts w:hint="eastAsia" w:ascii="方正小标宋简体" w:eastAsia="方正小标宋简体"/>
          <w:sz w:val="36"/>
          <w:szCs w:val="36"/>
          <w:lang w:val="en-US" w:eastAsia="zh-CN"/>
        </w:rPr>
        <w:t xml:space="preserve">  </w:t>
      </w:r>
    </w:p>
    <w:p>
      <w:pPr>
        <w:widowControl/>
        <w:spacing w:line="427" w:lineRule="auto"/>
        <w:jc w:val="center"/>
        <w:rPr>
          <w:rFonts w:hint="eastAsia" w:ascii="方正小标宋简体" w:eastAsia="方正小标宋简体"/>
          <w:sz w:val="36"/>
          <w:szCs w:val="36"/>
          <w:lang w:eastAsia="zh-CN"/>
        </w:rPr>
      </w:pPr>
    </w:p>
    <w:p>
      <w:pPr>
        <w:widowControl/>
        <w:spacing w:line="427" w:lineRule="auto"/>
        <w:jc w:val="center"/>
        <w:rPr>
          <w:rFonts w:hint="eastAsia" w:ascii="宋体" w:hAnsi="宋体" w:eastAsia="宋体" w:cs="宋体"/>
          <w:b/>
          <w:bCs/>
          <w:sz w:val="72"/>
          <w:szCs w:val="72"/>
          <w:lang w:eastAsia="zh-CN"/>
        </w:rPr>
      </w:pPr>
      <w:r>
        <w:rPr>
          <w:rFonts w:hint="eastAsia" w:ascii="宋体" w:hAnsi="宋体" w:eastAsia="宋体" w:cs="宋体"/>
          <w:b/>
          <w:bCs/>
          <w:sz w:val="72"/>
          <w:szCs w:val="72"/>
          <w:lang w:val="en-US" w:eastAsia="zh-CN"/>
        </w:rPr>
        <w:t>2024年度</w:t>
      </w:r>
      <w:r>
        <w:rPr>
          <w:rFonts w:hint="eastAsia" w:ascii="宋体" w:hAnsi="宋体" w:eastAsia="宋体" w:cs="宋体"/>
          <w:b/>
          <w:bCs/>
          <w:sz w:val="72"/>
          <w:szCs w:val="72"/>
          <w:lang w:eastAsia="zh-CN"/>
        </w:rPr>
        <w:t>社会责任报告</w:t>
      </w:r>
    </w:p>
    <w:p>
      <w:pPr>
        <w:pStyle w:val="2"/>
        <w:rPr>
          <w:rFonts w:hint="eastAsia"/>
          <w:sz w:val="36"/>
          <w:szCs w:val="36"/>
          <w:lang w:eastAsia="zh-CN"/>
        </w:rPr>
      </w:pPr>
      <w:r>
        <w:rPr>
          <w:rFonts w:hint="eastAsia"/>
          <w:sz w:val="36"/>
          <w:szCs w:val="36"/>
          <w:lang w:eastAsia="zh-CN"/>
        </w:rPr>
        <w:t>2024 Social Responsibility Report</w:t>
      </w:r>
    </w:p>
    <w:p>
      <w:pPr>
        <w:pStyle w:val="2"/>
        <w:rPr>
          <w:rFonts w:hint="eastAsia"/>
          <w:lang w:eastAsia="zh-CN"/>
        </w:rPr>
      </w:pPr>
    </w:p>
    <w:p>
      <w:pPr>
        <w:widowControl/>
        <w:spacing w:line="427" w:lineRule="auto"/>
        <w:jc w:val="center"/>
        <w:rPr>
          <w:rFonts w:hint="eastAsia" w:ascii="方正小标宋简体" w:eastAsia="方正小标宋简体"/>
          <w:sz w:val="44"/>
          <w:szCs w:val="44"/>
          <w:lang w:eastAsia="zh-CN"/>
        </w:rPr>
      </w:pPr>
    </w:p>
    <w:p>
      <w:pPr>
        <w:widowControl/>
        <w:spacing w:line="427" w:lineRule="auto"/>
        <w:jc w:val="both"/>
        <w:rPr>
          <w:rFonts w:hint="eastAsia" w:ascii="方正小标宋简体" w:eastAsia="方正小标宋简体"/>
          <w:sz w:val="44"/>
          <w:szCs w:val="44"/>
          <w:lang w:eastAsia="zh-CN"/>
        </w:rPr>
      </w:pPr>
      <w:r>
        <w:rPr>
          <w:rFonts w:hint="eastAsia" w:ascii="方正小标宋简体" w:eastAsia="方正小标宋简体"/>
          <w:sz w:val="44"/>
          <w:szCs w:val="44"/>
          <w:lang w:eastAsia="zh-CN"/>
        </w:rPr>
        <w:drawing>
          <wp:inline distT="0" distB="0" distL="114300" distR="114300">
            <wp:extent cx="5400040" cy="3597910"/>
            <wp:effectExtent l="0" t="0" r="10160" b="2540"/>
            <wp:docPr id="13" name="图片 93" descr="76a972716115df08b0e5c2641604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3" descr="76a972716115df08b0e5c2641604239"/>
                    <pic:cNvPicPr>
                      <a:picLocks noChangeAspect="1"/>
                    </pic:cNvPicPr>
                  </pic:nvPicPr>
                  <pic:blipFill>
                    <a:blip r:embed="rId8"/>
                    <a:srcRect b="6198"/>
                    <a:stretch>
                      <a:fillRect/>
                    </a:stretch>
                  </pic:blipFill>
                  <pic:spPr>
                    <a:xfrm>
                      <a:off x="0" y="0"/>
                      <a:ext cx="5400040" cy="3597910"/>
                    </a:xfrm>
                    <a:prstGeom prst="rect">
                      <a:avLst/>
                    </a:prstGeom>
                    <a:noFill/>
                    <a:ln>
                      <a:noFill/>
                    </a:ln>
                  </pic:spPr>
                </pic:pic>
              </a:graphicData>
            </a:graphic>
          </wp:inline>
        </w:drawing>
      </w:r>
    </w:p>
    <w:p>
      <w:pPr>
        <w:pStyle w:val="2"/>
        <w:ind w:left="0" w:leftChars="0" w:firstLine="0" w:firstLineChars="0"/>
        <w:rPr>
          <w:rFonts w:hint="eastAsia" w:ascii="方正小标宋简体" w:eastAsia="方正小标宋简体"/>
          <w:sz w:val="44"/>
          <w:szCs w:val="44"/>
          <w:lang w:eastAsia="zh-CN"/>
        </w:rPr>
      </w:pPr>
    </w:p>
    <w:p>
      <w:pPr>
        <w:bidi w:val="0"/>
        <w:jc w:val="center"/>
        <w:rPr>
          <w:rFonts w:hint="eastAsia" w:ascii="宋体" w:hAnsi="宋体" w:eastAsia="宋体" w:cs="宋体"/>
          <w:b/>
          <w:bCs/>
          <w:color w:val="000000"/>
          <w:kern w:val="0"/>
          <w:sz w:val="36"/>
          <w:szCs w:val="36"/>
          <w:lang w:val="en-US" w:eastAsia="zh-CN"/>
        </w:rPr>
      </w:pPr>
      <w:r>
        <w:rPr>
          <w:rFonts w:hint="eastAsia" w:ascii="宋体" w:hAnsi="宋体" w:eastAsia="宋体" w:cs="宋体"/>
          <w:sz w:val="36"/>
          <w:szCs w:val="36"/>
          <w:lang w:eastAsia="zh-CN"/>
        </w:rPr>
        <w:t>中泰证券股份有限公</w:t>
      </w:r>
      <w:r>
        <w:rPr>
          <w:rFonts w:hint="eastAsia" w:ascii="宋体" w:hAnsi="宋体" w:eastAsia="宋体" w:cs="宋体"/>
          <w:sz w:val="36"/>
          <w:szCs w:val="36"/>
          <w:lang w:val="en-US" w:eastAsia="zh-CN"/>
        </w:rPr>
        <w:t>司芜湖中山南</w:t>
      </w:r>
      <w:r>
        <w:rPr>
          <w:rFonts w:hint="eastAsia" w:ascii="宋体" w:hAnsi="宋体" w:eastAsia="宋体" w:cs="宋体"/>
          <w:sz w:val="36"/>
          <w:szCs w:val="36"/>
          <w:lang w:eastAsia="zh-CN"/>
        </w:rPr>
        <w:t>路证券营业部</w:t>
      </w:r>
      <w:r>
        <w:rPr>
          <w:rFonts w:hint="eastAsia" w:ascii="Times New Roman" w:hAnsi="Times New Roman" w:eastAsia="仿宋_GB2312" w:cs="Times New Roman"/>
          <w:kern w:val="2"/>
          <w:sz w:val="28"/>
          <w:szCs w:val="28"/>
          <w:lang w:val="en-US" w:eastAsia="zh-CN" w:bidi="ar-SA"/>
        </w:rPr>
        <w:t>Zhongtai Securities Co., Ltd. Wuhu Zhongshan South Road Securities Business Department</w:t>
      </w:r>
    </w:p>
    <w:p>
      <w:pPr>
        <w:widowControl/>
        <w:spacing w:line="427" w:lineRule="auto"/>
        <w:jc w:val="both"/>
        <w:rPr>
          <w:rFonts w:hint="eastAsia" w:ascii="宋体" w:hAnsi="宋体" w:eastAsia="宋体" w:cs="宋体"/>
          <w:kern w:val="2"/>
          <w:sz w:val="28"/>
          <w:szCs w:val="28"/>
          <w:lang w:val="en-US" w:eastAsia="zh-CN" w:bidi="ar-SA"/>
        </w:rPr>
      </w:pPr>
    </w:p>
    <w:p>
      <w:pPr>
        <w:spacing w:before="0" w:beforeLines="0" w:after="0" w:afterLines="0" w:line="240" w:lineRule="auto"/>
        <w:ind w:left="0" w:leftChars="0" w:right="0" w:rightChars="0" w:firstLine="0" w:firstLineChars="0"/>
        <w:jc w:val="center"/>
        <w:rPr>
          <w:rFonts w:hint="eastAsia" w:ascii="宋体" w:hAnsi="宋体" w:eastAsia="宋体" w:cs="宋体"/>
          <w:b/>
          <w:bCs/>
          <w:kern w:val="2"/>
          <w:sz w:val="40"/>
          <w:szCs w:val="40"/>
          <w:lang w:val="en-US" w:eastAsia="zh-CN" w:bidi="ar-SA"/>
        </w:rPr>
        <w:sectPr>
          <w:footerReference r:id="rId3" w:type="default"/>
          <w:pgSz w:w="11906" w:h="16838"/>
          <w:pgMar w:top="1440" w:right="1800" w:bottom="1440" w:left="1800" w:header="851" w:footer="992" w:gutter="0"/>
          <w:pgNumType w:start="1"/>
          <w:cols w:space="720" w:num="1"/>
          <w:docGrid w:type="lines" w:linePitch="312" w:charSpace="0"/>
        </w:sectPr>
      </w:pPr>
    </w:p>
    <w:sdt>
      <w:sdtPr>
        <w:rPr>
          <w:rFonts w:hint="eastAsia" w:ascii="宋体" w:hAnsi="宋体" w:eastAsia="宋体" w:cs="宋体"/>
          <w:b/>
          <w:bCs/>
          <w:kern w:val="2"/>
          <w:sz w:val="40"/>
          <w:szCs w:val="40"/>
          <w:lang w:val="en-US" w:eastAsia="zh-CN" w:bidi="ar-SA"/>
        </w:rPr>
        <w:id w:val="147477346"/>
        <w15:color w:val="DBDBDB"/>
        <w:docPartObj>
          <w:docPartGallery w:val="Table of Contents"/>
          <w:docPartUnique/>
        </w:docPartObj>
      </w:sdtPr>
      <w:sdtEndPr>
        <w:rPr>
          <w:rFonts w:hint="eastAsia" w:ascii="宋体" w:hAnsi="宋体" w:eastAsia="宋体" w:cs="宋体"/>
          <w:b/>
          <w:bCs/>
          <w:kern w:val="2"/>
          <w:sz w:val="40"/>
          <w:szCs w:val="40"/>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eastAsia="宋体" w:cs="宋体"/>
              <w:b/>
              <w:bCs/>
              <w:kern w:val="2"/>
              <w:sz w:val="40"/>
              <w:szCs w:val="40"/>
              <w:lang w:val="en-US" w:eastAsia="zh-CN" w:bidi="ar-SA"/>
            </w:rPr>
          </w:pPr>
          <w:r>
            <w:rPr>
              <w:rFonts w:hint="eastAsia" w:ascii="宋体" w:hAnsi="宋体" w:eastAsia="宋体" w:cs="宋体"/>
              <w:b/>
              <w:bCs/>
              <w:kern w:val="2"/>
              <w:sz w:val="40"/>
              <w:szCs w:val="40"/>
              <w:lang w:val="en-US" w:eastAsia="zh-CN" w:bidi="ar-SA"/>
            </w:rPr>
            <w:t>目录</w:t>
          </w:r>
        </w:p>
        <w:p>
          <w:pPr>
            <w:pStyle w:val="30"/>
            <w:tabs>
              <w:tab w:val="right" w:leader="dot" w:pos="8306"/>
            </w:tabs>
          </w:pPr>
          <w:r>
            <w:fldChar w:fldCharType="begin"/>
          </w:r>
          <w:r>
            <w:instrText xml:space="preserve">TOC \o "1-3" \h \u </w:instrText>
          </w:r>
          <w:r>
            <w:fldChar w:fldCharType="separate"/>
          </w:r>
          <w:r>
            <w:rPr>
              <w:rFonts w:hint="eastAsia" w:ascii="宋体" w:hAnsi="宋体" w:eastAsia="宋体" w:cs="宋体"/>
              <w:b/>
              <w:bCs/>
              <w:kern w:val="2"/>
              <w:sz w:val="28"/>
              <w:szCs w:val="28"/>
              <w:lang w:val="en-US" w:eastAsia="zh-CN" w:bidi="ar-SA"/>
            </w:rPr>
            <w:fldChar w:fldCharType="begin"/>
          </w:r>
          <w:r>
            <w:rPr>
              <w:rFonts w:hint="eastAsia" w:ascii="宋体" w:hAnsi="宋体" w:eastAsia="宋体" w:cs="宋体"/>
              <w:b/>
              <w:bCs/>
              <w:kern w:val="2"/>
              <w:sz w:val="28"/>
              <w:szCs w:val="28"/>
              <w:lang w:val="en-US" w:eastAsia="zh-CN" w:bidi="ar-SA"/>
            </w:rPr>
            <w:instrText xml:space="preserve"> HYPERLINK \l _Toc5157 </w:instrText>
          </w:r>
          <w:r>
            <w:rPr>
              <w:rFonts w:hint="eastAsia" w:ascii="宋体" w:hAnsi="宋体" w:eastAsia="宋体" w:cs="宋体"/>
              <w:b/>
              <w:bCs/>
              <w:kern w:val="2"/>
              <w:sz w:val="28"/>
              <w:szCs w:val="28"/>
              <w:lang w:val="en-US" w:eastAsia="zh-CN" w:bidi="ar-SA"/>
            </w:rPr>
            <w:fldChar w:fldCharType="separate"/>
          </w:r>
          <w:r>
            <w:rPr>
              <w:rFonts w:hint="eastAsia" w:ascii="宋体" w:hAnsi="宋体" w:eastAsia="宋体" w:cs="宋体"/>
              <w:b/>
              <w:bCs/>
              <w:kern w:val="2"/>
              <w:sz w:val="28"/>
              <w:szCs w:val="28"/>
              <w:lang w:val="en-US" w:eastAsia="zh-CN" w:bidi="ar-SA"/>
            </w:rPr>
            <w:t>前言</w:t>
          </w:r>
          <w:r>
            <w:rPr>
              <w:rFonts w:hint="eastAsia" w:ascii="宋体" w:hAnsi="宋体" w:eastAsia="宋体" w:cs="宋体"/>
              <w:b/>
              <w:bCs/>
              <w:kern w:val="2"/>
              <w:sz w:val="28"/>
              <w:szCs w:val="28"/>
              <w:lang w:val="en-US" w:eastAsia="zh-CN" w:bidi="ar-SA"/>
            </w:rPr>
            <w:tab/>
          </w:r>
          <w:r>
            <w:rPr>
              <w:rFonts w:hint="eastAsia" w:ascii="宋体" w:hAnsi="宋体" w:cs="宋体"/>
              <w:b/>
              <w:bCs/>
              <w:kern w:val="2"/>
              <w:sz w:val="28"/>
              <w:szCs w:val="28"/>
              <w:lang w:val="en-US" w:eastAsia="zh-CN" w:bidi="ar-SA"/>
            </w:rPr>
            <w:t>2</w:t>
          </w:r>
          <w:r>
            <w:rPr>
              <w:rFonts w:hint="eastAsia" w:ascii="宋体" w:hAnsi="宋体" w:eastAsia="宋体" w:cs="宋体"/>
              <w:b/>
              <w:bCs/>
              <w:kern w:val="2"/>
              <w:sz w:val="28"/>
              <w:szCs w:val="28"/>
              <w:lang w:val="en-US" w:eastAsia="zh-CN" w:bidi="ar-SA"/>
            </w:rPr>
            <w:fldChar w:fldCharType="end"/>
          </w:r>
        </w:p>
        <w:p>
          <w:pPr>
            <w:pStyle w:val="30"/>
            <w:tabs>
              <w:tab w:val="right" w:leader="dot" w:pos="8306"/>
            </w:tabs>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fldChar w:fldCharType="begin"/>
          </w:r>
          <w:r>
            <w:rPr>
              <w:rFonts w:hint="eastAsia" w:ascii="宋体" w:hAnsi="宋体" w:eastAsia="宋体" w:cs="宋体"/>
              <w:b/>
              <w:bCs/>
              <w:kern w:val="2"/>
              <w:sz w:val="28"/>
              <w:szCs w:val="28"/>
              <w:lang w:val="en-US" w:eastAsia="zh-CN" w:bidi="ar-SA"/>
            </w:rPr>
            <w:instrText xml:space="preserve"> HYPERLINK \l _Toc10127 </w:instrText>
          </w:r>
          <w:r>
            <w:rPr>
              <w:rFonts w:hint="eastAsia" w:ascii="宋体" w:hAnsi="宋体" w:eastAsia="宋体" w:cs="宋体"/>
              <w:b/>
              <w:bCs/>
              <w:kern w:val="2"/>
              <w:sz w:val="28"/>
              <w:szCs w:val="28"/>
              <w:lang w:val="en-US" w:eastAsia="zh-CN" w:bidi="ar-SA"/>
            </w:rPr>
            <w:fldChar w:fldCharType="separate"/>
          </w:r>
          <w:r>
            <w:rPr>
              <w:rFonts w:hint="eastAsia" w:ascii="宋体" w:hAnsi="宋体" w:eastAsia="宋体" w:cs="宋体"/>
              <w:b/>
              <w:bCs/>
              <w:kern w:val="2"/>
              <w:sz w:val="28"/>
              <w:szCs w:val="28"/>
              <w:lang w:val="en-US" w:eastAsia="zh-CN" w:bidi="ar-SA"/>
            </w:rPr>
            <w:t>关于我们</w:t>
          </w:r>
          <w:r>
            <w:rPr>
              <w:rFonts w:hint="eastAsia" w:ascii="宋体" w:hAnsi="宋体" w:eastAsia="宋体" w:cs="宋体"/>
              <w:b/>
              <w:bCs/>
              <w:kern w:val="2"/>
              <w:sz w:val="28"/>
              <w:szCs w:val="28"/>
              <w:lang w:val="en-US" w:eastAsia="zh-CN" w:bidi="ar-SA"/>
            </w:rPr>
            <w:tab/>
          </w:r>
          <w:r>
            <w:rPr>
              <w:rFonts w:hint="eastAsia" w:ascii="宋体" w:hAnsi="宋体" w:cs="宋体"/>
              <w:b/>
              <w:bCs/>
              <w:kern w:val="2"/>
              <w:sz w:val="28"/>
              <w:szCs w:val="28"/>
              <w:lang w:val="en-US" w:eastAsia="zh-CN" w:bidi="ar-SA"/>
            </w:rPr>
            <w:t>3</w:t>
          </w:r>
          <w:r>
            <w:rPr>
              <w:rFonts w:hint="eastAsia" w:ascii="宋体" w:hAnsi="宋体" w:eastAsia="宋体" w:cs="宋体"/>
              <w:b/>
              <w:bCs/>
              <w:kern w:val="2"/>
              <w:sz w:val="28"/>
              <w:szCs w:val="28"/>
              <w:lang w:val="en-US" w:eastAsia="zh-CN" w:bidi="ar-SA"/>
            </w:rPr>
            <w:fldChar w:fldCharType="end"/>
          </w:r>
        </w:p>
        <w:p>
          <w:pPr>
            <w:pStyle w:val="30"/>
            <w:tabs>
              <w:tab w:val="right" w:leader="dot" w:pos="8306"/>
            </w:tabs>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fldChar w:fldCharType="begin"/>
          </w:r>
          <w:r>
            <w:rPr>
              <w:rFonts w:hint="eastAsia" w:ascii="宋体" w:hAnsi="宋体" w:eastAsia="宋体" w:cs="宋体"/>
              <w:b/>
              <w:bCs/>
              <w:kern w:val="2"/>
              <w:sz w:val="28"/>
              <w:szCs w:val="28"/>
              <w:lang w:val="en-US" w:eastAsia="zh-CN" w:bidi="ar-SA"/>
            </w:rPr>
            <w:instrText xml:space="preserve"> HYPERLINK \l _Toc18856 </w:instrText>
          </w:r>
          <w:r>
            <w:rPr>
              <w:rFonts w:hint="eastAsia" w:ascii="宋体" w:hAnsi="宋体" w:eastAsia="宋体" w:cs="宋体"/>
              <w:b/>
              <w:bCs/>
              <w:kern w:val="2"/>
              <w:sz w:val="28"/>
              <w:szCs w:val="28"/>
              <w:lang w:val="en-US" w:eastAsia="zh-CN" w:bidi="ar-SA"/>
            </w:rPr>
            <w:fldChar w:fldCharType="separate"/>
          </w:r>
          <w:r>
            <w:rPr>
              <w:rFonts w:hint="eastAsia" w:ascii="宋体" w:hAnsi="宋体" w:eastAsia="宋体" w:cs="宋体"/>
              <w:b/>
              <w:bCs/>
              <w:kern w:val="2"/>
              <w:sz w:val="28"/>
              <w:szCs w:val="28"/>
              <w:lang w:val="en-US" w:eastAsia="zh-CN" w:bidi="ar-SA"/>
            </w:rPr>
            <w:t>企业社会责任理念</w:t>
          </w:r>
          <w:r>
            <w:rPr>
              <w:rFonts w:hint="eastAsia" w:ascii="宋体" w:hAnsi="宋体" w:eastAsia="宋体" w:cs="宋体"/>
              <w:b/>
              <w:bCs/>
              <w:kern w:val="2"/>
              <w:sz w:val="28"/>
              <w:szCs w:val="28"/>
              <w:lang w:val="en-US" w:eastAsia="zh-CN" w:bidi="ar-SA"/>
            </w:rPr>
            <w:tab/>
          </w:r>
          <w:r>
            <w:rPr>
              <w:rFonts w:hint="eastAsia" w:ascii="宋体" w:hAnsi="宋体" w:eastAsia="宋体" w:cs="宋体"/>
              <w:b/>
              <w:bCs/>
              <w:kern w:val="2"/>
              <w:sz w:val="28"/>
              <w:szCs w:val="28"/>
              <w:lang w:val="en-US" w:eastAsia="zh-CN" w:bidi="ar-SA"/>
            </w:rPr>
            <w:fldChar w:fldCharType="begin"/>
          </w:r>
          <w:r>
            <w:rPr>
              <w:rFonts w:hint="eastAsia" w:ascii="宋体" w:hAnsi="宋体" w:eastAsia="宋体" w:cs="宋体"/>
              <w:b/>
              <w:bCs/>
              <w:kern w:val="2"/>
              <w:sz w:val="28"/>
              <w:szCs w:val="28"/>
              <w:lang w:val="en-US" w:eastAsia="zh-CN" w:bidi="ar-SA"/>
            </w:rPr>
            <w:instrText xml:space="preserve"> PAGEREF _Toc18856 \h </w:instrText>
          </w:r>
          <w:r>
            <w:rPr>
              <w:rFonts w:hint="eastAsia" w:ascii="宋体" w:hAnsi="宋体" w:eastAsia="宋体" w:cs="宋体"/>
              <w:b/>
              <w:bCs/>
              <w:kern w:val="2"/>
              <w:sz w:val="28"/>
              <w:szCs w:val="28"/>
              <w:lang w:val="en-US" w:eastAsia="zh-CN" w:bidi="ar-SA"/>
            </w:rPr>
            <w:fldChar w:fldCharType="separate"/>
          </w:r>
          <w:r>
            <w:rPr>
              <w:rFonts w:hint="eastAsia" w:ascii="宋体" w:hAnsi="宋体" w:eastAsia="宋体" w:cs="宋体"/>
              <w:b/>
              <w:bCs/>
              <w:kern w:val="2"/>
              <w:sz w:val="28"/>
              <w:szCs w:val="28"/>
              <w:lang w:val="en-US" w:eastAsia="zh-CN" w:bidi="ar-SA"/>
            </w:rPr>
            <w:t>4</w:t>
          </w:r>
          <w:r>
            <w:rPr>
              <w:rFonts w:hint="eastAsia" w:ascii="宋体" w:hAnsi="宋体" w:eastAsia="宋体" w:cs="宋体"/>
              <w:b/>
              <w:bCs/>
              <w:kern w:val="2"/>
              <w:sz w:val="28"/>
              <w:szCs w:val="28"/>
              <w:lang w:val="en-US" w:eastAsia="zh-CN" w:bidi="ar-SA"/>
            </w:rPr>
            <w:fldChar w:fldCharType="end"/>
          </w:r>
          <w:r>
            <w:rPr>
              <w:rFonts w:hint="eastAsia" w:ascii="宋体" w:hAnsi="宋体" w:eastAsia="宋体" w:cs="宋体"/>
              <w:b/>
              <w:bCs/>
              <w:kern w:val="2"/>
              <w:sz w:val="28"/>
              <w:szCs w:val="28"/>
              <w:lang w:val="en-US" w:eastAsia="zh-CN" w:bidi="ar-SA"/>
            </w:rPr>
            <w:fldChar w:fldCharType="end"/>
          </w:r>
        </w:p>
        <w:p>
          <w:pPr>
            <w:pStyle w:val="30"/>
            <w:tabs>
              <w:tab w:val="right" w:leader="dot" w:pos="8306"/>
            </w:tabs>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fldChar w:fldCharType="begin"/>
          </w:r>
          <w:r>
            <w:rPr>
              <w:rFonts w:hint="eastAsia" w:ascii="宋体" w:hAnsi="宋体" w:eastAsia="宋体" w:cs="宋体"/>
              <w:b/>
              <w:bCs/>
              <w:kern w:val="2"/>
              <w:sz w:val="28"/>
              <w:szCs w:val="28"/>
              <w:lang w:val="en-US" w:eastAsia="zh-CN" w:bidi="ar-SA"/>
            </w:rPr>
            <w:instrText xml:space="preserve"> HYPERLINK \l _Toc20699 </w:instrText>
          </w:r>
          <w:r>
            <w:rPr>
              <w:rFonts w:hint="eastAsia" w:ascii="宋体" w:hAnsi="宋体" w:eastAsia="宋体" w:cs="宋体"/>
              <w:b/>
              <w:bCs/>
              <w:kern w:val="2"/>
              <w:sz w:val="28"/>
              <w:szCs w:val="28"/>
              <w:lang w:val="en-US" w:eastAsia="zh-CN" w:bidi="ar-SA"/>
            </w:rPr>
            <w:fldChar w:fldCharType="separate"/>
          </w:r>
          <w:r>
            <w:rPr>
              <w:rFonts w:hint="eastAsia" w:ascii="宋体" w:hAnsi="宋体" w:eastAsia="宋体" w:cs="宋体"/>
              <w:b/>
              <w:bCs/>
              <w:kern w:val="2"/>
              <w:sz w:val="28"/>
              <w:szCs w:val="28"/>
              <w:lang w:val="en-US" w:eastAsia="zh-CN" w:bidi="ar-SA"/>
            </w:rPr>
            <w:t>一、经营责任</w:t>
          </w:r>
          <w:r>
            <w:rPr>
              <w:rFonts w:hint="eastAsia" w:ascii="宋体" w:hAnsi="宋体" w:cs="宋体"/>
              <w:b/>
              <w:bCs/>
              <w:kern w:val="2"/>
              <w:sz w:val="28"/>
              <w:szCs w:val="28"/>
              <w:lang w:val="en-US" w:eastAsia="zh-CN" w:bidi="ar-SA"/>
            </w:rPr>
            <w:t>..</w:t>
          </w:r>
          <w:r>
            <w:rPr>
              <w:rFonts w:hint="eastAsia" w:ascii="宋体" w:hAnsi="宋体" w:eastAsia="宋体" w:cs="宋体"/>
              <w:b/>
              <w:bCs/>
              <w:kern w:val="2"/>
              <w:sz w:val="28"/>
              <w:szCs w:val="28"/>
              <w:lang w:val="en-US" w:eastAsia="zh-CN" w:bidi="ar-SA"/>
            </w:rPr>
            <w:tab/>
          </w:r>
          <w:r>
            <w:rPr>
              <w:rFonts w:hint="eastAsia" w:ascii="宋体" w:hAnsi="宋体" w:cs="宋体"/>
              <w:b/>
              <w:bCs/>
              <w:kern w:val="2"/>
              <w:sz w:val="28"/>
              <w:szCs w:val="28"/>
              <w:lang w:val="en-US" w:eastAsia="zh-CN" w:bidi="ar-SA"/>
            </w:rPr>
            <w:t>6</w:t>
          </w:r>
          <w:r>
            <w:rPr>
              <w:rFonts w:hint="eastAsia" w:ascii="宋体" w:hAnsi="宋体" w:eastAsia="宋体" w:cs="宋体"/>
              <w:b/>
              <w:bCs/>
              <w:kern w:val="2"/>
              <w:sz w:val="28"/>
              <w:szCs w:val="28"/>
              <w:lang w:val="en-US" w:eastAsia="zh-CN" w:bidi="ar-SA"/>
            </w:rPr>
            <w:fldChar w:fldCharType="end"/>
          </w:r>
        </w:p>
        <w:p>
          <w:pPr>
            <w:pStyle w:val="31"/>
            <w:tabs>
              <w:tab w:val="right" w:leader="dot" w:pos="8306"/>
            </w:tabs>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_Toc23992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（一）利润与经济效益方面</w:t>
          </w:r>
          <w:r>
            <w:rPr>
              <w:rFonts w:hint="eastAsia" w:ascii="宋体" w:hAnsi="宋体" w:eastAsia="宋体" w:cs="宋体"/>
              <w:kern w:val="2"/>
              <w:sz w:val="28"/>
              <w:szCs w:val="28"/>
              <w:lang w:val="en-US" w:eastAsia="zh-CN" w:bidi="ar-SA"/>
            </w:rPr>
            <w:tab/>
          </w:r>
          <w:r>
            <w:rPr>
              <w:rFonts w:hint="eastAsia" w:ascii="宋体" w:hAnsi="宋体" w:cs="宋体"/>
              <w:kern w:val="2"/>
              <w:sz w:val="28"/>
              <w:szCs w:val="28"/>
              <w:lang w:val="en-US" w:eastAsia="zh-CN" w:bidi="ar-SA"/>
            </w:rPr>
            <w:t>6</w:t>
          </w:r>
          <w:r>
            <w:rPr>
              <w:rFonts w:hint="eastAsia" w:ascii="宋体" w:hAnsi="宋体" w:eastAsia="宋体" w:cs="宋体"/>
              <w:kern w:val="2"/>
              <w:sz w:val="28"/>
              <w:szCs w:val="28"/>
              <w:lang w:val="en-US" w:eastAsia="zh-CN" w:bidi="ar-SA"/>
            </w:rPr>
            <w:fldChar w:fldCharType="end"/>
          </w:r>
        </w:p>
        <w:p>
          <w:pPr>
            <w:pStyle w:val="31"/>
            <w:tabs>
              <w:tab w:val="right" w:leader="dot" w:pos="8306"/>
            </w:tabs>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_Toc20208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（二）企业信用等级方面</w:t>
          </w:r>
          <w:r>
            <w:rPr>
              <w:rFonts w:hint="eastAsia" w:ascii="宋体" w:hAnsi="宋体" w:eastAsia="宋体" w:cs="宋体"/>
              <w:kern w:val="2"/>
              <w:sz w:val="28"/>
              <w:szCs w:val="28"/>
              <w:lang w:val="en-US" w:eastAsia="zh-CN" w:bidi="ar-SA"/>
            </w:rPr>
            <w:tab/>
          </w:r>
          <w:r>
            <w:rPr>
              <w:rFonts w:hint="eastAsia" w:ascii="宋体" w:hAnsi="宋体" w:cs="宋体"/>
              <w:kern w:val="2"/>
              <w:sz w:val="28"/>
              <w:szCs w:val="28"/>
              <w:lang w:val="en-US" w:eastAsia="zh-CN" w:bidi="ar-SA"/>
            </w:rPr>
            <w:t>6</w:t>
          </w:r>
          <w:r>
            <w:rPr>
              <w:rFonts w:hint="eastAsia" w:ascii="宋体" w:hAnsi="宋体" w:eastAsia="宋体" w:cs="宋体"/>
              <w:kern w:val="2"/>
              <w:sz w:val="28"/>
              <w:szCs w:val="28"/>
              <w:lang w:val="en-US" w:eastAsia="zh-CN" w:bidi="ar-SA"/>
            </w:rPr>
            <w:fldChar w:fldCharType="end"/>
          </w:r>
        </w:p>
        <w:p>
          <w:pPr>
            <w:pStyle w:val="30"/>
            <w:tabs>
              <w:tab w:val="right" w:leader="dot" w:pos="8306"/>
            </w:tabs>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fldChar w:fldCharType="begin"/>
          </w:r>
          <w:r>
            <w:rPr>
              <w:rFonts w:hint="eastAsia" w:ascii="宋体" w:hAnsi="宋体" w:eastAsia="宋体" w:cs="宋体"/>
              <w:b/>
              <w:bCs/>
              <w:kern w:val="2"/>
              <w:sz w:val="28"/>
              <w:szCs w:val="28"/>
              <w:lang w:val="en-US" w:eastAsia="zh-CN" w:bidi="ar-SA"/>
            </w:rPr>
            <w:instrText xml:space="preserve"> HYPERLINK \l _Toc23767 </w:instrText>
          </w:r>
          <w:r>
            <w:rPr>
              <w:rFonts w:hint="eastAsia" w:ascii="宋体" w:hAnsi="宋体" w:eastAsia="宋体" w:cs="宋体"/>
              <w:b/>
              <w:bCs/>
              <w:kern w:val="2"/>
              <w:sz w:val="28"/>
              <w:szCs w:val="28"/>
              <w:lang w:val="en-US" w:eastAsia="zh-CN" w:bidi="ar-SA"/>
            </w:rPr>
            <w:fldChar w:fldCharType="separate"/>
          </w:r>
          <w:r>
            <w:rPr>
              <w:rFonts w:hint="eastAsia" w:ascii="宋体" w:hAnsi="宋体" w:eastAsia="宋体" w:cs="宋体"/>
              <w:b/>
              <w:bCs/>
              <w:kern w:val="2"/>
              <w:sz w:val="28"/>
              <w:szCs w:val="28"/>
              <w:lang w:val="en-US" w:eastAsia="zh-CN" w:bidi="ar-SA"/>
            </w:rPr>
            <w:t>二、环保责任</w:t>
          </w:r>
          <w:r>
            <w:rPr>
              <w:rFonts w:hint="eastAsia" w:ascii="宋体" w:hAnsi="宋体" w:eastAsia="宋体" w:cs="宋体"/>
              <w:b/>
              <w:bCs/>
              <w:kern w:val="2"/>
              <w:sz w:val="28"/>
              <w:szCs w:val="28"/>
              <w:lang w:val="en-US" w:eastAsia="zh-CN" w:bidi="ar-SA"/>
            </w:rPr>
            <w:tab/>
          </w:r>
          <w:r>
            <w:rPr>
              <w:rFonts w:hint="eastAsia" w:ascii="宋体" w:hAnsi="宋体" w:eastAsia="宋体" w:cs="宋体"/>
              <w:b/>
              <w:bCs/>
              <w:kern w:val="2"/>
              <w:sz w:val="28"/>
              <w:szCs w:val="28"/>
              <w:lang w:val="en-US" w:eastAsia="zh-CN" w:bidi="ar-SA"/>
            </w:rPr>
            <w:fldChar w:fldCharType="begin"/>
          </w:r>
          <w:r>
            <w:rPr>
              <w:rFonts w:hint="eastAsia" w:ascii="宋体" w:hAnsi="宋体" w:eastAsia="宋体" w:cs="宋体"/>
              <w:b/>
              <w:bCs/>
              <w:kern w:val="2"/>
              <w:sz w:val="28"/>
              <w:szCs w:val="28"/>
              <w:lang w:val="en-US" w:eastAsia="zh-CN" w:bidi="ar-SA"/>
            </w:rPr>
            <w:instrText xml:space="preserve"> PAGEREF _Toc23767 \h </w:instrText>
          </w:r>
          <w:r>
            <w:rPr>
              <w:rFonts w:hint="eastAsia" w:ascii="宋体" w:hAnsi="宋体" w:eastAsia="宋体" w:cs="宋体"/>
              <w:b/>
              <w:bCs/>
              <w:kern w:val="2"/>
              <w:sz w:val="28"/>
              <w:szCs w:val="28"/>
              <w:lang w:val="en-US" w:eastAsia="zh-CN" w:bidi="ar-SA"/>
            </w:rPr>
            <w:fldChar w:fldCharType="separate"/>
          </w:r>
          <w:r>
            <w:rPr>
              <w:rFonts w:hint="eastAsia" w:ascii="宋体" w:hAnsi="宋体" w:eastAsia="宋体" w:cs="宋体"/>
              <w:b/>
              <w:bCs/>
              <w:kern w:val="2"/>
              <w:sz w:val="28"/>
              <w:szCs w:val="28"/>
              <w:lang w:val="en-US" w:eastAsia="zh-CN" w:bidi="ar-SA"/>
            </w:rPr>
            <w:t>1</w:t>
          </w:r>
          <w:r>
            <w:rPr>
              <w:rFonts w:hint="eastAsia" w:ascii="宋体" w:hAnsi="宋体" w:cs="宋体"/>
              <w:b/>
              <w:bCs/>
              <w:kern w:val="2"/>
              <w:sz w:val="28"/>
              <w:szCs w:val="28"/>
              <w:lang w:val="en-US" w:eastAsia="zh-CN" w:bidi="ar-SA"/>
            </w:rPr>
            <w:t>0</w:t>
          </w:r>
          <w:r>
            <w:rPr>
              <w:rFonts w:hint="eastAsia" w:ascii="宋体" w:hAnsi="宋体" w:eastAsia="宋体" w:cs="宋体"/>
              <w:b/>
              <w:bCs/>
              <w:kern w:val="2"/>
              <w:sz w:val="28"/>
              <w:szCs w:val="28"/>
              <w:lang w:val="en-US" w:eastAsia="zh-CN" w:bidi="ar-SA"/>
            </w:rPr>
            <w:fldChar w:fldCharType="end"/>
          </w:r>
          <w:r>
            <w:rPr>
              <w:rFonts w:hint="eastAsia" w:ascii="宋体" w:hAnsi="宋体" w:eastAsia="宋体" w:cs="宋体"/>
              <w:b/>
              <w:bCs/>
              <w:kern w:val="2"/>
              <w:sz w:val="28"/>
              <w:szCs w:val="28"/>
              <w:lang w:val="en-US" w:eastAsia="zh-CN" w:bidi="ar-SA"/>
            </w:rPr>
            <w:fldChar w:fldCharType="end"/>
          </w:r>
        </w:p>
        <w:p>
          <w:pPr>
            <w:pStyle w:val="30"/>
            <w:tabs>
              <w:tab w:val="right" w:leader="dot" w:pos="8306"/>
            </w:tabs>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fldChar w:fldCharType="begin"/>
          </w:r>
          <w:r>
            <w:rPr>
              <w:rFonts w:hint="eastAsia" w:ascii="宋体" w:hAnsi="宋体" w:eastAsia="宋体" w:cs="宋体"/>
              <w:b/>
              <w:bCs/>
              <w:kern w:val="2"/>
              <w:sz w:val="28"/>
              <w:szCs w:val="28"/>
              <w:lang w:val="en-US" w:eastAsia="zh-CN" w:bidi="ar-SA"/>
            </w:rPr>
            <w:instrText xml:space="preserve"> HYPERLINK \l _Toc31037 </w:instrText>
          </w:r>
          <w:r>
            <w:rPr>
              <w:rFonts w:hint="eastAsia" w:ascii="宋体" w:hAnsi="宋体" w:eastAsia="宋体" w:cs="宋体"/>
              <w:b/>
              <w:bCs/>
              <w:kern w:val="2"/>
              <w:sz w:val="28"/>
              <w:szCs w:val="28"/>
              <w:lang w:val="en-US" w:eastAsia="zh-CN" w:bidi="ar-SA"/>
            </w:rPr>
            <w:fldChar w:fldCharType="separate"/>
          </w:r>
          <w:r>
            <w:rPr>
              <w:rFonts w:hint="eastAsia" w:ascii="宋体" w:hAnsi="宋体" w:eastAsia="宋体" w:cs="宋体"/>
              <w:b/>
              <w:bCs/>
              <w:kern w:val="2"/>
              <w:sz w:val="28"/>
              <w:szCs w:val="28"/>
              <w:lang w:val="en-US" w:eastAsia="zh-CN" w:bidi="ar-SA"/>
            </w:rPr>
            <w:t>三、员工保障责任</w:t>
          </w:r>
          <w:r>
            <w:rPr>
              <w:rFonts w:hint="eastAsia" w:ascii="宋体" w:hAnsi="宋体" w:eastAsia="宋体" w:cs="宋体"/>
              <w:b/>
              <w:bCs/>
              <w:kern w:val="2"/>
              <w:sz w:val="28"/>
              <w:szCs w:val="28"/>
              <w:lang w:val="en-US" w:eastAsia="zh-CN" w:bidi="ar-SA"/>
            </w:rPr>
            <w:tab/>
          </w:r>
          <w:r>
            <w:rPr>
              <w:rFonts w:hint="eastAsia" w:ascii="宋体" w:hAnsi="宋体" w:eastAsia="宋体" w:cs="宋体"/>
              <w:b/>
              <w:bCs/>
              <w:kern w:val="2"/>
              <w:sz w:val="28"/>
              <w:szCs w:val="28"/>
              <w:lang w:val="en-US" w:eastAsia="zh-CN" w:bidi="ar-SA"/>
            </w:rPr>
            <w:fldChar w:fldCharType="begin"/>
          </w:r>
          <w:r>
            <w:rPr>
              <w:rFonts w:hint="eastAsia" w:ascii="宋体" w:hAnsi="宋体" w:eastAsia="宋体" w:cs="宋体"/>
              <w:b/>
              <w:bCs/>
              <w:kern w:val="2"/>
              <w:sz w:val="28"/>
              <w:szCs w:val="28"/>
              <w:lang w:val="en-US" w:eastAsia="zh-CN" w:bidi="ar-SA"/>
            </w:rPr>
            <w:instrText xml:space="preserve"> PAGEREF _Toc31037 \h </w:instrText>
          </w:r>
          <w:r>
            <w:rPr>
              <w:rFonts w:hint="eastAsia" w:ascii="宋体" w:hAnsi="宋体" w:eastAsia="宋体" w:cs="宋体"/>
              <w:b/>
              <w:bCs/>
              <w:kern w:val="2"/>
              <w:sz w:val="28"/>
              <w:szCs w:val="28"/>
              <w:lang w:val="en-US" w:eastAsia="zh-CN" w:bidi="ar-SA"/>
            </w:rPr>
            <w:fldChar w:fldCharType="separate"/>
          </w:r>
          <w:r>
            <w:rPr>
              <w:rFonts w:hint="eastAsia" w:ascii="宋体" w:hAnsi="宋体" w:eastAsia="宋体" w:cs="宋体"/>
              <w:b/>
              <w:bCs/>
              <w:kern w:val="2"/>
              <w:sz w:val="28"/>
              <w:szCs w:val="28"/>
              <w:lang w:val="en-US" w:eastAsia="zh-CN" w:bidi="ar-SA"/>
            </w:rPr>
            <w:t>1</w:t>
          </w:r>
          <w:r>
            <w:rPr>
              <w:rFonts w:hint="eastAsia" w:ascii="宋体" w:hAnsi="宋体" w:cs="宋体"/>
              <w:b/>
              <w:bCs/>
              <w:kern w:val="2"/>
              <w:sz w:val="28"/>
              <w:szCs w:val="28"/>
              <w:lang w:val="en-US" w:eastAsia="zh-CN" w:bidi="ar-SA"/>
            </w:rPr>
            <w:t>1</w:t>
          </w:r>
          <w:r>
            <w:rPr>
              <w:rFonts w:hint="eastAsia" w:ascii="宋体" w:hAnsi="宋体" w:eastAsia="宋体" w:cs="宋体"/>
              <w:b/>
              <w:bCs/>
              <w:kern w:val="2"/>
              <w:sz w:val="28"/>
              <w:szCs w:val="28"/>
              <w:lang w:val="en-US" w:eastAsia="zh-CN" w:bidi="ar-SA"/>
            </w:rPr>
            <w:fldChar w:fldCharType="end"/>
          </w:r>
          <w:r>
            <w:rPr>
              <w:rFonts w:hint="eastAsia" w:ascii="宋体" w:hAnsi="宋体" w:eastAsia="宋体" w:cs="宋体"/>
              <w:b/>
              <w:bCs/>
              <w:kern w:val="2"/>
              <w:sz w:val="28"/>
              <w:szCs w:val="28"/>
              <w:lang w:val="en-US" w:eastAsia="zh-CN" w:bidi="ar-SA"/>
            </w:rPr>
            <w:fldChar w:fldCharType="end"/>
          </w:r>
        </w:p>
        <w:p>
          <w:pPr>
            <w:pStyle w:val="31"/>
            <w:tabs>
              <w:tab w:val="right" w:leader="dot" w:pos="8306"/>
            </w:tabs>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_Toc8317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（一）员工概况 </w:t>
          </w:r>
          <w:r>
            <w:rPr>
              <w:rFonts w:hint="eastAsia" w:ascii="宋体" w:hAnsi="宋体" w:eastAsia="宋体" w:cs="宋体"/>
              <w:kern w:val="2"/>
              <w:sz w:val="28"/>
              <w:szCs w:val="28"/>
              <w:lang w:val="en-US" w:eastAsia="zh-CN" w:bidi="ar-SA"/>
            </w:rPr>
            <w:tab/>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PAGEREF _Toc8317 \h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fldChar w:fldCharType="end"/>
          </w:r>
        </w:p>
        <w:p>
          <w:pPr>
            <w:pStyle w:val="31"/>
            <w:tabs>
              <w:tab w:val="right" w:leader="dot" w:pos="8306"/>
            </w:tabs>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_Toc28115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（二）员工薪酬福利与职业发展概况 </w:t>
          </w:r>
          <w:r>
            <w:rPr>
              <w:rFonts w:hint="eastAsia" w:ascii="宋体" w:hAnsi="宋体" w:eastAsia="宋体" w:cs="宋体"/>
              <w:kern w:val="2"/>
              <w:sz w:val="28"/>
              <w:szCs w:val="28"/>
              <w:lang w:val="en-US" w:eastAsia="zh-CN" w:bidi="ar-SA"/>
            </w:rPr>
            <w:tab/>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PAGEREF _Toc28115 \h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fldChar w:fldCharType="end"/>
          </w:r>
        </w:p>
        <w:p>
          <w:pPr>
            <w:pStyle w:val="31"/>
            <w:tabs>
              <w:tab w:val="right" w:leader="dot" w:pos="8306"/>
            </w:tabs>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_Toc21312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（三）组织丰富的文体活动 </w:t>
          </w:r>
          <w:r>
            <w:rPr>
              <w:rFonts w:hint="eastAsia" w:ascii="宋体" w:hAnsi="宋体" w:eastAsia="宋体" w:cs="宋体"/>
              <w:kern w:val="2"/>
              <w:sz w:val="28"/>
              <w:szCs w:val="28"/>
              <w:lang w:val="en-US" w:eastAsia="zh-CN" w:bidi="ar-SA"/>
            </w:rPr>
            <w:tab/>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PAGEREF _Toc21312 \h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fldChar w:fldCharType="end"/>
          </w:r>
        </w:p>
        <w:p>
          <w:pPr>
            <w:pStyle w:val="31"/>
            <w:tabs>
              <w:tab w:val="right" w:leader="dot" w:pos="8306"/>
            </w:tabs>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_Toc13982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（四）关爱员工家庭和生活 </w:t>
          </w:r>
          <w:r>
            <w:rPr>
              <w:rFonts w:hint="eastAsia" w:ascii="宋体" w:hAnsi="宋体" w:eastAsia="宋体" w:cs="宋体"/>
              <w:kern w:val="2"/>
              <w:sz w:val="28"/>
              <w:szCs w:val="28"/>
              <w:lang w:val="en-US" w:eastAsia="zh-CN" w:bidi="ar-SA"/>
            </w:rPr>
            <w:tab/>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PAGEREF _Toc13982 \h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cs="宋体"/>
              <w:kern w:val="2"/>
              <w:sz w:val="28"/>
              <w:szCs w:val="28"/>
              <w:lang w:val="en-US" w:eastAsia="zh-CN" w:bidi="ar-SA"/>
            </w:rPr>
            <w:t>2</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fldChar w:fldCharType="end"/>
          </w:r>
        </w:p>
        <w:p>
          <w:pPr>
            <w:pStyle w:val="30"/>
            <w:tabs>
              <w:tab w:val="right" w:leader="dot" w:pos="8306"/>
            </w:tabs>
          </w:pPr>
          <w:r>
            <w:rPr>
              <w:rFonts w:hint="eastAsia" w:ascii="宋体" w:hAnsi="宋体" w:eastAsia="宋体" w:cs="宋体"/>
              <w:b/>
              <w:bCs/>
              <w:kern w:val="2"/>
              <w:sz w:val="28"/>
              <w:szCs w:val="28"/>
              <w:lang w:val="en-US" w:eastAsia="zh-CN" w:bidi="ar-SA"/>
            </w:rPr>
            <w:fldChar w:fldCharType="begin"/>
          </w:r>
          <w:r>
            <w:rPr>
              <w:rFonts w:hint="eastAsia" w:ascii="宋体" w:hAnsi="宋体" w:eastAsia="宋体" w:cs="宋体"/>
              <w:b/>
              <w:bCs/>
              <w:kern w:val="2"/>
              <w:sz w:val="28"/>
              <w:szCs w:val="28"/>
              <w:lang w:val="en-US" w:eastAsia="zh-CN" w:bidi="ar-SA"/>
            </w:rPr>
            <w:instrText xml:space="preserve"> HYPERLINK \l _Toc7621 </w:instrText>
          </w:r>
          <w:r>
            <w:rPr>
              <w:rFonts w:hint="eastAsia" w:ascii="宋体" w:hAnsi="宋体" w:eastAsia="宋体" w:cs="宋体"/>
              <w:b/>
              <w:bCs/>
              <w:kern w:val="2"/>
              <w:sz w:val="28"/>
              <w:szCs w:val="28"/>
              <w:lang w:val="en-US" w:eastAsia="zh-CN" w:bidi="ar-SA"/>
            </w:rPr>
            <w:fldChar w:fldCharType="separate"/>
          </w:r>
          <w:r>
            <w:rPr>
              <w:rFonts w:hint="eastAsia" w:ascii="宋体" w:hAnsi="宋体" w:eastAsia="宋体" w:cs="宋体"/>
              <w:b/>
              <w:bCs/>
              <w:kern w:val="2"/>
              <w:sz w:val="28"/>
              <w:szCs w:val="28"/>
              <w:lang w:val="en-US" w:eastAsia="zh-CN" w:bidi="ar-SA"/>
            </w:rPr>
            <w:t>四、安全责任</w:t>
          </w:r>
          <w:r>
            <w:rPr>
              <w:rFonts w:hint="eastAsia" w:ascii="宋体" w:hAnsi="宋体" w:eastAsia="宋体" w:cs="宋体"/>
              <w:b/>
              <w:bCs/>
              <w:kern w:val="2"/>
              <w:sz w:val="28"/>
              <w:szCs w:val="28"/>
              <w:lang w:val="en-US" w:eastAsia="zh-CN" w:bidi="ar-SA"/>
            </w:rPr>
            <w:tab/>
          </w:r>
          <w:r>
            <w:rPr>
              <w:rFonts w:hint="eastAsia" w:ascii="宋体" w:hAnsi="宋体" w:eastAsia="宋体" w:cs="宋体"/>
              <w:b/>
              <w:bCs/>
              <w:kern w:val="2"/>
              <w:sz w:val="28"/>
              <w:szCs w:val="28"/>
              <w:lang w:val="en-US" w:eastAsia="zh-CN" w:bidi="ar-SA"/>
            </w:rPr>
            <w:fldChar w:fldCharType="begin"/>
          </w:r>
          <w:r>
            <w:rPr>
              <w:rFonts w:hint="eastAsia" w:ascii="宋体" w:hAnsi="宋体" w:eastAsia="宋体" w:cs="宋体"/>
              <w:b/>
              <w:bCs/>
              <w:kern w:val="2"/>
              <w:sz w:val="28"/>
              <w:szCs w:val="28"/>
              <w:lang w:val="en-US" w:eastAsia="zh-CN" w:bidi="ar-SA"/>
            </w:rPr>
            <w:instrText xml:space="preserve"> PAGEREF _Toc7621 \h </w:instrText>
          </w:r>
          <w:r>
            <w:rPr>
              <w:rFonts w:hint="eastAsia" w:ascii="宋体" w:hAnsi="宋体" w:eastAsia="宋体" w:cs="宋体"/>
              <w:b/>
              <w:bCs/>
              <w:kern w:val="2"/>
              <w:sz w:val="28"/>
              <w:szCs w:val="28"/>
              <w:lang w:val="en-US" w:eastAsia="zh-CN" w:bidi="ar-SA"/>
            </w:rPr>
            <w:fldChar w:fldCharType="separate"/>
          </w:r>
          <w:r>
            <w:rPr>
              <w:rFonts w:hint="eastAsia" w:ascii="宋体" w:hAnsi="宋体" w:eastAsia="宋体" w:cs="宋体"/>
              <w:b/>
              <w:bCs/>
              <w:kern w:val="2"/>
              <w:sz w:val="28"/>
              <w:szCs w:val="28"/>
              <w:lang w:val="en-US" w:eastAsia="zh-CN" w:bidi="ar-SA"/>
            </w:rPr>
            <w:t>1</w:t>
          </w:r>
          <w:r>
            <w:rPr>
              <w:rFonts w:hint="eastAsia" w:ascii="宋体" w:hAnsi="宋体" w:cs="宋体"/>
              <w:b/>
              <w:bCs/>
              <w:kern w:val="2"/>
              <w:sz w:val="28"/>
              <w:szCs w:val="28"/>
              <w:lang w:val="en-US" w:eastAsia="zh-CN" w:bidi="ar-SA"/>
            </w:rPr>
            <w:t>4</w:t>
          </w:r>
          <w:r>
            <w:rPr>
              <w:rFonts w:hint="eastAsia" w:ascii="宋体" w:hAnsi="宋体" w:eastAsia="宋体" w:cs="宋体"/>
              <w:b/>
              <w:bCs/>
              <w:kern w:val="2"/>
              <w:sz w:val="28"/>
              <w:szCs w:val="28"/>
              <w:lang w:val="en-US" w:eastAsia="zh-CN" w:bidi="ar-SA"/>
            </w:rPr>
            <w:fldChar w:fldCharType="end"/>
          </w:r>
          <w:r>
            <w:rPr>
              <w:rFonts w:hint="eastAsia" w:ascii="宋体" w:hAnsi="宋体" w:eastAsia="宋体" w:cs="宋体"/>
              <w:b/>
              <w:bCs/>
              <w:kern w:val="2"/>
              <w:sz w:val="28"/>
              <w:szCs w:val="28"/>
              <w:lang w:val="en-US" w:eastAsia="zh-CN" w:bidi="ar-SA"/>
            </w:rPr>
            <w:fldChar w:fldCharType="end"/>
          </w:r>
        </w:p>
        <w:p>
          <w:pPr>
            <w:pStyle w:val="31"/>
            <w:tabs>
              <w:tab w:val="right" w:leader="dot" w:pos="8306"/>
            </w:tabs>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_Toc4096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（一）金融安全责任制的制度制定与执行情况</w:t>
          </w:r>
          <w:r>
            <w:rPr>
              <w:rFonts w:hint="eastAsia" w:ascii="宋体" w:hAnsi="宋体" w:eastAsia="宋体" w:cs="宋体"/>
              <w:kern w:val="2"/>
              <w:sz w:val="28"/>
              <w:szCs w:val="28"/>
              <w:lang w:val="en-US" w:eastAsia="zh-CN" w:bidi="ar-SA"/>
            </w:rPr>
            <w:tab/>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PAGEREF _Toc4096 \h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cs="宋体"/>
              <w:kern w:val="2"/>
              <w:sz w:val="28"/>
              <w:szCs w:val="28"/>
              <w:lang w:val="en-US" w:eastAsia="zh-CN" w:bidi="ar-SA"/>
            </w:rPr>
            <w:t>4</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fldChar w:fldCharType="end"/>
          </w:r>
        </w:p>
        <w:p>
          <w:pPr>
            <w:pStyle w:val="31"/>
            <w:tabs>
              <w:tab w:val="right" w:leader="dot" w:pos="8306"/>
            </w:tabs>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HYPERLINK \l _Toc28656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（二）工作环境安全应急预案制定与执行情况</w:t>
          </w:r>
          <w:r>
            <w:rPr>
              <w:rFonts w:hint="eastAsia" w:ascii="宋体" w:hAnsi="宋体" w:eastAsia="宋体" w:cs="宋体"/>
              <w:kern w:val="2"/>
              <w:sz w:val="28"/>
              <w:szCs w:val="28"/>
              <w:lang w:val="en-US" w:eastAsia="zh-CN" w:bidi="ar-SA"/>
            </w:rPr>
            <w:tab/>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PAGEREF _Toc28656 \h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cs="宋体"/>
              <w:kern w:val="2"/>
              <w:sz w:val="28"/>
              <w:szCs w:val="28"/>
              <w:lang w:val="en-US" w:eastAsia="zh-CN" w:bidi="ar-SA"/>
            </w:rPr>
            <w:t>4</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fldChar w:fldCharType="end"/>
          </w:r>
        </w:p>
        <w:p>
          <w:pPr>
            <w:pStyle w:val="30"/>
            <w:tabs>
              <w:tab w:val="right" w:leader="dot" w:pos="8306"/>
            </w:tabs>
            <w:rPr>
              <w:rFonts w:hint="default"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fldChar w:fldCharType="begin"/>
          </w:r>
          <w:r>
            <w:rPr>
              <w:rFonts w:hint="eastAsia" w:ascii="宋体" w:hAnsi="宋体" w:eastAsia="宋体" w:cs="宋体"/>
              <w:b/>
              <w:bCs/>
              <w:kern w:val="2"/>
              <w:sz w:val="28"/>
              <w:szCs w:val="28"/>
              <w:lang w:val="en-US" w:eastAsia="zh-CN" w:bidi="ar-SA"/>
            </w:rPr>
            <w:instrText xml:space="preserve"> HYPERLINK \l _Toc25388 </w:instrText>
          </w:r>
          <w:r>
            <w:rPr>
              <w:rFonts w:hint="eastAsia" w:ascii="宋体" w:hAnsi="宋体" w:eastAsia="宋体" w:cs="宋体"/>
              <w:b/>
              <w:bCs/>
              <w:kern w:val="2"/>
              <w:sz w:val="28"/>
              <w:szCs w:val="28"/>
              <w:lang w:val="en-US" w:eastAsia="zh-CN" w:bidi="ar-SA"/>
            </w:rPr>
            <w:fldChar w:fldCharType="separate"/>
          </w:r>
          <w:r>
            <w:rPr>
              <w:rFonts w:hint="eastAsia" w:ascii="宋体" w:hAnsi="宋体" w:eastAsia="宋体" w:cs="宋体"/>
              <w:b/>
              <w:bCs/>
              <w:kern w:val="2"/>
              <w:sz w:val="28"/>
              <w:szCs w:val="28"/>
              <w:lang w:val="en-US" w:eastAsia="zh-CN" w:bidi="ar-SA"/>
            </w:rPr>
            <w:t>五、公益事业参与度</w:t>
          </w:r>
          <w:r>
            <w:rPr>
              <w:rFonts w:hint="eastAsia" w:ascii="宋体" w:hAnsi="宋体" w:eastAsia="宋体" w:cs="宋体"/>
              <w:b/>
              <w:bCs/>
              <w:kern w:val="2"/>
              <w:sz w:val="28"/>
              <w:szCs w:val="28"/>
              <w:lang w:val="en-US" w:eastAsia="zh-CN" w:bidi="ar-SA"/>
            </w:rPr>
            <w:tab/>
          </w:r>
          <w:r>
            <w:rPr>
              <w:rFonts w:hint="eastAsia" w:ascii="宋体" w:hAnsi="宋体" w:cs="宋体"/>
              <w:b/>
              <w:bCs/>
              <w:kern w:val="2"/>
              <w:sz w:val="28"/>
              <w:szCs w:val="28"/>
              <w:lang w:val="en-US" w:eastAsia="zh-CN" w:bidi="ar-SA"/>
            </w:rPr>
            <w:t>1</w:t>
          </w:r>
          <w:r>
            <w:rPr>
              <w:rFonts w:hint="eastAsia" w:ascii="宋体" w:hAnsi="宋体" w:eastAsia="宋体" w:cs="宋体"/>
              <w:b/>
              <w:bCs/>
              <w:kern w:val="2"/>
              <w:sz w:val="28"/>
              <w:szCs w:val="28"/>
              <w:lang w:val="en-US" w:eastAsia="zh-CN" w:bidi="ar-SA"/>
            </w:rPr>
            <w:fldChar w:fldCharType="end"/>
          </w:r>
          <w:r>
            <w:rPr>
              <w:rFonts w:hint="eastAsia" w:ascii="宋体" w:hAnsi="宋体" w:cs="宋体"/>
              <w:b/>
              <w:bCs/>
              <w:kern w:val="2"/>
              <w:sz w:val="28"/>
              <w:szCs w:val="28"/>
              <w:lang w:val="en-US" w:eastAsia="zh-CN" w:bidi="ar-SA"/>
            </w:rPr>
            <w:t>5</w:t>
          </w:r>
        </w:p>
        <w:p>
          <w:pPr>
            <w:pStyle w:val="30"/>
            <w:tabs>
              <w:tab w:val="right" w:leader="dot" w:pos="8306"/>
            </w:tabs>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fldChar w:fldCharType="begin"/>
          </w:r>
          <w:r>
            <w:rPr>
              <w:rFonts w:hint="eastAsia" w:ascii="宋体" w:hAnsi="宋体" w:eastAsia="宋体" w:cs="宋体"/>
              <w:b/>
              <w:bCs/>
              <w:kern w:val="2"/>
              <w:sz w:val="28"/>
              <w:szCs w:val="28"/>
              <w:lang w:val="en-US" w:eastAsia="zh-CN" w:bidi="ar-SA"/>
            </w:rPr>
            <w:instrText xml:space="preserve"> HYPERLINK \l _Toc27521 </w:instrText>
          </w:r>
          <w:r>
            <w:rPr>
              <w:rFonts w:hint="eastAsia" w:ascii="宋体" w:hAnsi="宋体" w:eastAsia="宋体" w:cs="宋体"/>
              <w:b/>
              <w:bCs/>
              <w:kern w:val="2"/>
              <w:sz w:val="28"/>
              <w:szCs w:val="28"/>
              <w:lang w:val="en-US" w:eastAsia="zh-CN" w:bidi="ar-SA"/>
            </w:rPr>
            <w:fldChar w:fldCharType="separate"/>
          </w:r>
          <w:r>
            <w:rPr>
              <w:rFonts w:hint="eastAsia" w:ascii="宋体" w:hAnsi="宋体" w:eastAsia="宋体" w:cs="宋体"/>
              <w:b/>
              <w:bCs/>
              <w:kern w:val="2"/>
              <w:sz w:val="28"/>
              <w:szCs w:val="28"/>
              <w:lang w:val="en-US" w:eastAsia="zh-CN" w:bidi="ar-SA"/>
            </w:rPr>
            <w:t>六、 报告结语</w:t>
          </w:r>
          <w:r>
            <w:rPr>
              <w:rFonts w:hint="eastAsia" w:ascii="宋体" w:hAnsi="宋体" w:eastAsia="宋体" w:cs="宋体"/>
              <w:b/>
              <w:bCs/>
              <w:kern w:val="2"/>
              <w:sz w:val="28"/>
              <w:szCs w:val="28"/>
              <w:lang w:val="en-US" w:eastAsia="zh-CN" w:bidi="ar-SA"/>
            </w:rPr>
            <w:tab/>
          </w:r>
          <w:r>
            <w:rPr>
              <w:rFonts w:hint="eastAsia" w:ascii="宋体" w:hAnsi="宋体" w:eastAsia="宋体" w:cs="宋体"/>
              <w:b/>
              <w:bCs/>
              <w:kern w:val="2"/>
              <w:sz w:val="28"/>
              <w:szCs w:val="28"/>
              <w:lang w:val="en-US" w:eastAsia="zh-CN" w:bidi="ar-SA"/>
            </w:rPr>
            <w:fldChar w:fldCharType="begin"/>
          </w:r>
          <w:r>
            <w:rPr>
              <w:rFonts w:hint="eastAsia" w:ascii="宋体" w:hAnsi="宋体" w:eastAsia="宋体" w:cs="宋体"/>
              <w:b/>
              <w:bCs/>
              <w:kern w:val="2"/>
              <w:sz w:val="28"/>
              <w:szCs w:val="28"/>
              <w:lang w:val="en-US" w:eastAsia="zh-CN" w:bidi="ar-SA"/>
            </w:rPr>
            <w:instrText xml:space="preserve"> PAGEREF _Toc27521 \h </w:instrText>
          </w:r>
          <w:r>
            <w:rPr>
              <w:rFonts w:hint="eastAsia" w:ascii="宋体" w:hAnsi="宋体" w:eastAsia="宋体" w:cs="宋体"/>
              <w:b/>
              <w:bCs/>
              <w:kern w:val="2"/>
              <w:sz w:val="28"/>
              <w:szCs w:val="28"/>
              <w:lang w:val="en-US" w:eastAsia="zh-CN" w:bidi="ar-SA"/>
            </w:rPr>
            <w:fldChar w:fldCharType="separate"/>
          </w:r>
          <w:r>
            <w:rPr>
              <w:rFonts w:hint="eastAsia" w:ascii="宋体" w:hAnsi="宋体" w:eastAsia="宋体" w:cs="宋体"/>
              <w:b/>
              <w:bCs/>
              <w:kern w:val="2"/>
              <w:sz w:val="28"/>
              <w:szCs w:val="28"/>
              <w:lang w:val="en-US" w:eastAsia="zh-CN" w:bidi="ar-SA"/>
            </w:rPr>
            <w:t>1</w:t>
          </w:r>
          <w:r>
            <w:rPr>
              <w:rFonts w:hint="eastAsia" w:ascii="宋体" w:hAnsi="宋体" w:cs="宋体"/>
              <w:b/>
              <w:bCs/>
              <w:kern w:val="2"/>
              <w:sz w:val="28"/>
              <w:szCs w:val="28"/>
              <w:lang w:val="en-US" w:eastAsia="zh-CN" w:bidi="ar-SA"/>
            </w:rPr>
            <w:t>6</w:t>
          </w:r>
          <w:r>
            <w:rPr>
              <w:rFonts w:hint="eastAsia" w:ascii="宋体" w:hAnsi="宋体" w:eastAsia="宋体" w:cs="宋体"/>
              <w:b/>
              <w:bCs/>
              <w:kern w:val="2"/>
              <w:sz w:val="28"/>
              <w:szCs w:val="28"/>
              <w:lang w:val="en-US" w:eastAsia="zh-CN" w:bidi="ar-SA"/>
            </w:rPr>
            <w:fldChar w:fldCharType="end"/>
          </w:r>
          <w:r>
            <w:rPr>
              <w:rFonts w:hint="eastAsia" w:ascii="宋体" w:hAnsi="宋体" w:eastAsia="宋体" w:cs="宋体"/>
              <w:b/>
              <w:bCs/>
              <w:kern w:val="2"/>
              <w:sz w:val="28"/>
              <w:szCs w:val="28"/>
              <w:lang w:val="en-US" w:eastAsia="zh-CN" w:bidi="ar-SA"/>
            </w:rPr>
            <w:fldChar w:fldCharType="end"/>
          </w:r>
        </w:p>
        <w:p>
          <w:pPr>
            <w:rPr>
              <w:rFonts w:hint="eastAsia" w:ascii="宋体" w:hAnsi="宋体" w:cs="宋体"/>
              <w:b/>
              <w:bCs/>
              <w:color w:val="000000"/>
              <w:kern w:val="0"/>
              <w:sz w:val="36"/>
              <w:szCs w:val="36"/>
              <w:lang w:val="en-US" w:eastAsia="zh-CN"/>
            </w:rPr>
          </w:pPr>
          <w:r>
            <w:fldChar w:fldCharType="end"/>
          </w:r>
          <w:bookmarkStart w:id="0" w:name="_Toc5157"/>
        </w:p>
      </w:sdtContent>
    </w:sdt>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0"/>
        <w:rPr>
          <w:rFonts w:hint="eastAsia" w:ascii="宋体" w:hAnsi="宋体" w:cs="宋体"/>
          <w:b/>
          <w:bCs/>
          <w:color w:val="000000"/>
          <w:kern w:val="0"/>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0"/>
        <w:rPr>
          <w:rFonts w:hint="eastAsia" w:ascii="宋体" w:hAnsi="宋体" w:cs="宋体"/>
          <w:b/>
          <w:bCs/>
          <w:color w:val="000000"/>
          <w:kern w:val="0"/>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240" w:lineRule="atLeast"/>
        <w:jc w:val="both"/>
        <w:textAlignment w:val="auto"/>
        <w:outlineLvl w:val="0"/>
        <w:rPr>
          <w:rFonts w:hint="eastAsia" w:ascii="宋体" w:hAnsi="宋体" w:cs="宋体"/>
          <w:b/>
          <w:bCs/>
          <w:color w:val="000000"/>
          <w:kern w:val="0"/>
          <w:sz w:val="36"/>
          <w:szCs w:val="36"/>
          <w:lang w:val="en-US" w:eastAsia="zh-CN"/>
        </w:rPr>
      </w:pPr>
    </w:p>
    <w:p>
      <w:pPr>
        <w:spacing w:line="240" w:lineRule="atLeast"/>
        <w:jc w:val="center"/>
        <w:outlineLvl w:val="0"/>
        <w:rPr>
          <w:rFonts w:hint="default" w:ascii="宋体" w:hAnsi="宋体" w:eastAsia="宋体" w:cs="宋体"/>
          <w:b/>
          <w:bCs/>
          <w:color w:val="000000"/>
          <w:kern w:val="0"/>
          <w:sz w:val="36"/>
          <w:szCs w:val="36"/>
          <w:lang w:val="en-US" w:eastAsia="zh-CN"/>
        </w:rPr>
      </w:pPr>
      <w:r>
        <w:rPr>
          <w:rFonts w:hint="eastAsia" w:ascii="宋体" w:hAnsi="宋体" w:eastAsia="宋体" w:cs="宋体"/>
          <w:b/>
          <w:bCs/>
          <w:color w:val="000000"/>
          <w:kern w:val="0"/>
          <w:sz w:val="36"/>
          <w:szCs w:val="36"/>
          <w:lang w:val="en-US" w:eastAsia="zh-CN"/>
        </w:rPr>
        <w:t>前</w:t>
      </w:r>
      <w:r>
        <w:rPr>
          <w:rFonts w:hint="eastAsia" w:ascii="宋体" w:hAnsi="宋体" w:cs="宋体"/>
          <w:b/>
          <w:bCs/>
          <w:color w:val="000000"/>
          <w:kern w:val="0"/>
          <w:sz w:val="36"/>
          <w:szCs w:val="36"/>
          <w:lang w:val="en-US" w:eastAsia="zh-CN"/>
        </w:rPr>
        <w:t xml:space="preserve">  </w:t>
      </w:r>
      <w:r>
        <w:rPr>
          <w:rFonts w:hint="eastAsia" w:ascii="宋体" w:hAnsi="宋体" w:eastAsia="宋体" w:cs="宋体"/>
          <w:b/>
          <w:bCs/>
          <w:color w:val="000000"/>
          <w:kern w:val="0"/>
          <w:sz w:val="36"/>
          <w:szCs w:val="36"/>
          <w:lang w:val="en-US" w:eastAsia="zh-CN"/>
        </w:rPr>
        <w:t>言</w:t>
      </w:r>
      <w:bookmarkEnd w:id="0"/>
    </w:p>
    <w:p>
      <w:pPr>
        <w:keepNext w:val="0"/>
        <w:keepLines w:val="0"/>
        <w:pageBreakBefore w:val="0"/>
        <w:widowControl w:val="0"/>
        <w:kinsoku/>
        <w:wordWrap/>
        <w:overflowPunct/>
        <w:topLinePunct w:val="0"/>
        <w:autoSpaceDE/>
        <w:autoSpaceDN/>
        <w:bidi w:val="0"/>
        <w:adjustRightInd/>
        <w:snapToGrid/>
        <w:spacing w:line="720" w:lineRule="auto"/>
        <w:jc w:val="left"/>
        <w:textAlignment w:val="auto"/>
        <w:outlineLvl w:val="1"/>
        <w:rPr>
          <w:rFonts w:ascii="宋体" w:cs="Times New Roman"/>
          <w:b/>
          <w:bCs/>
          <w:sz w:val="36"/>
          <w:szCs w:val="36"/>
        </w:rPr>
      </w:pPr>
      <w:bookmarkStart w:id="1" w:name="_Toc15861"/>
      <w:r>
        <w:rPr>
          <w:rFonts w:hint="eastAsia" w:ascii="宋体" w:hAnsi="宋体" w:cs="宋体"/>
          <w:b/>
          <w:bCs/>
          <w:sz w:val="36"/>
          <w:szCs w:val="36"/>
        </w:rPr>
        <w:t>编制说明</w:t>
      </w:r>
      <w:bookmarkEnd w:id="1"/>
    </w:p>
    <w:p>
      <w:pPr>
        <w:keepNext w:val="0"/>
        <w:keepLines w:val="0"/>
        <w:pageBreakBefore w:val="0"/>
        <w:widowControl w:val="0"/>
        <w:kinsoku/>
        <w:wordWrap/>
        <w:overflowPunct/>
        <w:topLinePunct w:val="0"/>
        <w:autoSpaceDE/>
        <w:autoSpaceDN/>
        <w:bidi w:val="0"/>
        <w:adjustRightInd/>
        <w:snapToGrid/>
        <w:spacing w:line="720" w:lineRule="auto"/>
        <w:jc w:val="left"/>
        <w:textAlignment w:val="auto"/>
        <w:outlineLvl w:val="1"/>
        <w:rPr>
          <w:rFonts w:ascii="宋体" w:cs="Times New Roman"/>
          <w:b/>
          <w:bCs/>
          <w:sz w:val="28"/>
          <w:szCs w:val="28"/>
        </w:rPr>
      </w:pPr>
      <w:bookmarkStart w:id="2" w:name="_Toc19513"/>
      <w:r>
        <w:rPr>
          <w:rFonts w:hint="eastAsia" w:ascii="宋体" w:hAnsi="宋体" w:cs="宋体"/>
          <w:b/>
          <w:bCs/>
          <w:sz w:val="28"/>
          <w:szCs w:val="28"/>
        </w:rPr>
        <w:t>报告可靠性承诺</w:t>
      </w:r>
      <w:bookmarkEnd w:id="2"/>
    </w:p>
    <w:p>
      <w:pPr>
        <w:keepNext w:val="0"/>
        <w:keepLines w:val="0"/>
        <w:pageBreakBefore w:val="0"/>
        <w:kinsoku/>
        <w:wordWrap/>
        <w:overflowPunct/>
        <w:topLinePunct w:val="0"/>
        <w:autoSpaceDE/>
        <w:autoSpaceDN/>
        <w:bidi w:val="0"/>
        <w:adjustRightInd/>
        <w:snapToGrid/>
        <w:spacing w:line="720" w:lineRule="auto"/>
        <w:ind w:firstLine="560" w:firstLineChars="200"/>
        <w:jc w:val="left"/>
        <w:textAlignment w:val="auto"/>
        <w:rPr>
          <w:rFonts w:hint="eastAsia" w:ascii="宋体" w:eastAsia="宋体" w:cs="Times New Roman"/>
          <w:sz w:val="28"/>
          <w:szCs w:val="28"/>
          <w:lang w:val="en-US" w:eastAsia="zh-CN"/>
        </w:rPr>
      </w:pPr>
      <w:r>
        <w:rPr>
          <w:rFonts w:hint="eastAsia" w:ascii="宋体" w:hAnsi="宋体" w:cs="宋体"/>
          <w:sz w:val="28"/>
          <w:szCs w:val="28"/>
        </w:rPr>
        <w:t>公司承诺本报告内容引用的数据及图片真实、准确，不存在虚假记录、误导性陈述或重大遗漏</w:t>
      </w:r>
      <w:r>
        <w:rPr>
          <w:rFonts w:hint="eastAsia" w:ascii="宋体" w:hAnsi="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outlineLvl w:val="1"/>
        <w:rPr>
          <w:rFonts w:hint="eastAsia" w:ascii="宋体" w:hAnsi="宋体" w:cs="宋体"/>
          <w:b/>
          <w:bCs/>
          <w:sz w:val="28"/>
          <w:szCs w:val="28"/>
        </w:rPr>
      </w:pPr>
      <w:bookmarkStart w:id="3" w:name="_Toc3972"/>
      <w:r>
        <w:rPr>
          <w:rFonts w:hint="eastAsia" w:ascii="宋体" w:hAnsi="宋体" w:cs="宋体"/>
          <w:b/>
          <w:bCs/>
          <w:sz w:val="28"/>
          <w:szCs w:val="28"/>
        </w:rPr>
        <w:t>报告组织范围</w:t>
      </w:r>
      <w:bookmarkEnd w:id="3"/>
    </w:p>
    <w:p>
      <w:pPr>
        <w:keepNext w:val="0"/>
        <w:keepLines w:val="0"/>
        <w:pageBreakBefore w:val="0"/>
        <w:widowControl/>
        <w:kinsoku/>
        <w:wordWrap/>
        <w:overflowPunct/>
        <w:topLinePunct w:val="0"/>
        <w:autoSpaceDE/>
        <w:autoSpaceDN/>
        <w:bidi w:val="0"/>
        <w:adjustRightInd/>
        <w:snapToGrid/>
        <w:spacing w:line="720" w:lineRule="auto"/>
        <w:ind w:firstLine="560" w:firstLineChars="200"/>
        <w:jc w:val="both"/>
        <w:textAlignment w:val="auto"/>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eastAsia="zh-CN"/>
        </w:rPr>
        <w:t>中泰证券股份有限公司芜湖中山南路证券营业部</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outlineLvl w:val="1"/>
        <w:rPr>
          <w:rFonts w:hint="eastAsia" w:ascii="宋体" w:hAnsi="宋体" w:cs="宋体"/>
          <w:b/>
          <w:bCs/>
          <w:sz w:val="28"/>
          <w:szCs w:val="28"/>
        </w:rPr>
      </w:pPr>
      <w:bookmarkStart w:id="4" w:name="_Toc1995"/>
      <w:r>
        <w:rPr>
          <w:rFonts w:hint="eastAsia" w:ascii="宋体" w:hAnsi="宋体" w:cs="宋体"/>
          <w:b/>
          <w:bCs/>
          <w:sz w:val="28"/>
          <w:szCs w:val="28"/>
        </w:rPr>
        <w:t>报告时间范围</w:t>
      </w:r>
      <w:bookmarkEnd w:id="4"/>
    </w:p>
    <w:p>
      <w:pPr>
        <w:keepNext w:val="0"/>
        <w:keepLines w:val="0"/>
        <w:pageBreakBefore w:val="0"/>
        <w:widowControl w:val="0"/>
        <w:kinsoku/>
        <w:wordWrap/>
        <w:overflowPunct/>
        <w:topLinePunct w:val="0"/>
        <w:autoSpaceDE/>
        <w:autoSpaceDN/>
        <w:bidi w:val="0"/>
        <w:adjustRightInd/>
        <w:snapToGrid/>
        <w:spacing w:line="720" w:lineRule="auto"/>
        <w:jc w:val="left"/>
        <w:textAlignment w:val="auto"/>
        <w:outlineLvl w:val="1"/>
        <w:rPr>
          <w:rFonts w:ascii="宋体" w:cs="Times New Roman"/>
          <w:sz w:val="28"/>
          <w:szCs w:val="28"/>
        </w:rPr>
      </w:pPr>
      <w:r>
        <w:rPr>
          <w:rFonts w:hint="eastAsia" w:ascii="宋体" w:hAnsi="宋体" w:cs="宋体"/>
          <w:sz w:val="28"/>
          <w:szCs w:val="28"/>
          <w:lang w:val="en-US" w:eastAsia="zh-CN"/>
        </w:rPr>
        <w:t>2024</w:t>
      </w:r>
      <w:r>
        <w:rPr>
          <w:rFonts w:hint="eastAsia" w:ascii="宋体" w:hAnsi="宋体" w:cs="宋体"/>
          <w:sz w:val="28"/>
          <w:szCs w:val="28"/>
        </w:rPr>
        <w:t>年</w:t>
      </w:r>
      <w:r>
        <w:rPr>
          <w:rFonts w:ascii="宋体" w:hAnsi="宋体" w:cs="宋体"/>
          <w:sz w:val="28"/>
          <w:szCs w:val="28"/>
        </w:rPr>
        <w:t>1</w:t>
      </w:r>
      <w:r>
        <w:rPr>
          <w:rFonts w:hint="eastAsia" w:ascii="宋体" w:hAnsi="宋体" w:cs="宋体"/>
          <w:sz w:val="28"/>
          <w:szCs w:val="28"/>
        </w:rPr>
        <w:t>月</w:t>
      </w:r>
      <w:r>
        <w:rPr>
          <w:rFonts w:ascii="宋体" w:hAnsi="宋体" w:cs="宋体"/>
          <w:sz w:val="28"/>
          <w:szCs w:val="28"/>
        </w:rPr>
        <w:t>1</w:t>
      </w:r>
      <w:r>
        <w:rPr>
          <w:rFonts w:hint="eastAsia" w:ascii="宋体" w:hAnsi="宋体" w:cs="宋体"/>
          <w:sz w:val="28"/>
          <w:szCs w:val="28"/>
        </w:rPr>
        <w:t>日至</w:t>
      </w:r>
      <w:r>
        <w:rPr>
          <w:rFonts w:hint="eastAsia" w:ascii="宋体" w:hAnsi="宋体" w:cs="宋体"/>
          <w:sz w:val="28"/>
          <w:szCs w:val="28"/>
          <w:lang w:val="en-US" w:eastAsia="zh-CN"/>
        </w:rPr>
        <w:t>2024</w:t>
      </w:r>
      <w:r>
        <w:rPr>
          <w:rFonts w:hint="eastAsia" w:ascii="宋体" w:hAnsi="宋体" w:cs="宋体"/>
          <w:sz w:val="28"/>
          <w:szCs w:val="28"/>
        </w:rPr>
        <w:t>年</w:t>
      </w:r>
      <w:r>
        <w:rPr>
          <w:rFonts w:ascii="宋体" w:hAnsi="宋体" w:cs="宋体"/>
          <w:sz w:val="28"/>
          <w:szCs w:val="28"/>
        </w:rPr>
        <w:t>12</w:t>
      </w:r>
      <w:r>
        <w:rPr>
          <w:rFonts w:hint="eastAsia" w:ascii="宋体" w:hAnsi="宋体" w:cs="宋体"/>
          <w:sz w:val="28"/>
          <w:szCs w:val="28"/>
        </w:rPr>
        <w:t>月</w:t>
      </w:r>
      <w:r>
        <w:rPr>
          <w:rFonts w:ascii="宋体" w:hAnsi="宋体" w:cs="宋体"/>
          <w:sz w:val="28"/>
          <w:szCs w:val="28"/>
        </w:rPr>
        <w:t>31</w:t>
      </w:r>
      <w:r>
        <w:rPr>
          <w:rFonts w:hint="eastAsia" w:ascii="宋体" w:hAnsi="宋体" w:cs="宋体"/>
          <w:sz w:val="28"/>
          <w:szCs w:val="28"/>
        </w:rPr>
        <w:t>日</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outlineLvl w:val="1"/>
        <w:rPr>
          <w:rFonts w:hint="eastAsia" w:ascii="宋体" w:hAnsi="宋体" w:cs="宋体"/>
          <w:b/>
          <w:bCs/>
          <w:sz w:val="28"/>
          <w:szCs w:val="28"/>
        </w:rPr>
      </w:pPr>
      <w:bookmarkStart w:id="5" w:name="_Toc29489"/>
      <w:r>
        <w:rPr>
          <w:rFonts w:hint="eastAsia" w:ascii="宋体" w:hAnsi="宋体" w:cs="宋体"/>
          <w:b/>
          <w:bCs/>
          <w:sz w:val="28"/>
          <w:szCs w:val="28"/>
        </w:rPr>
        <w:t>报告发布次数</w:t>
      </w:r>
      <w:bookmarkEnd w:id="5"/>
    </w:p>
    <w:p>
      <w:pPr>
        <w:keepNext w:val="0"/>
        <w:keepLines w:val="0"/>
        <w:pageBreakBefore w:val="0"/>
        <w:kinsoku/>
        <w:wordWrap/>
        <w:overflowPunct/>
        <w:topLinePunct w:val="0"/>
        <w:autoSpaceDE/>
        <w:autoSpaceDN/>
        <w:bidi w:val="0"/>
        <w:adjustRightInd/>
        <w:snapToGrid/>
        <w:spacing w:line="720" w:lineRule="auto"/>
        <w:ind w:firstLine="560" w:firstLineChars="200"/>
        <w:jc w:val="left"/>
        <w:textAlignment w:val="auto"/>
        <w:rPr>
          <w:rFonts w:ascii="宋体" w:cs="Times New Roman"/>
          <w:color w:val="auto"/>
          <w:sz w:val="28"/>
          <w:szCs w:val="28"/>
        </w:rPr>
      </w:pPr>
      <w:r>
        <w:rPr>
          <w:rFonts w:hint="eastAsia" w:ascii="宋体" w:hAnsi="宋体" w:cs="宋体"/>
          <w:color w:val="auto"/>
          <w:sz w:val="28"/>
          <w:szCs w:val="28"/>
        </w:rPr>
        <w:t>自</w:t>
      </w:r>
      <w:r>
        <w:rPr>
          <w:rFonts w:ascii="宋体" w:hAnsi="宋体" w:cs="宋体"/>
          <w:color w:val="auto"/>
          <w:sz w:val="28"/>
          <w:szCs w:val="28"/>
        </w:rPr>
        <w:t>201</w:t>
      </w:r>
      <w:r>
        <w:rPr>
          <w:rFonts w:hint="eastAsia" w:ascii="宋体" w:hAnsi="宋体" w:cs="宋体"/>
          <w:color w:val="auto"/>
          <w:sz w:val="28"/>
          <w:szCs w:val="28"/>
          <w:lang w:val="en-US" w:eastAsia="zh-CN"/>
        </w:rPr>
        <w:t>7</w:t>
      </w:r>
      <w:r>
        <w:rPr>
          <w:rFonts w:hint="eastAsia" w:ascii="宋体" w:hAnsi="宋体" w:cs="宋体"/>
          <w:color w:val="auto"/>
          <w:sz w:val="28"/>
          <w:szCs w:val="28"/>
        </w:rPr>
        <w:t>年起，公司第</w:t>
      </w:r>
      <w:r>
        <w:rPr>
          <w:rFonts w:hint="eastAsia" w:ascii="宋体" w:hAnsi="宋体" w:cs="宋体"/>
          <w:color w:val="auto"/>
          <w:sz w:val="28"/>
          <w:szCs w:val="28"/>
          <w:lang w:val="en-US" w:eastAsia="zh-CN"/>
        </w:rPr>
        <w:t>八</w:t>
      </w:r>
      <w:r>
        <w:rPr>
          <w:rFonts w:hint="eastAsia" w:ascii="宋体" w:hAnsi="宋体" w:cs="宋体"/>
          <w:color w:val="auto"/>
          <w:sz w:val="28"/>
          <w:szCs w:val="28"/>
        </w:rPr>
        <w:t>份社会责任报告</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outlineLvl w:val="1"/>
        <w:rPr>
          <w:rFonts w:hint="eastAsia" w:ascii="宋体" w:hAnsi="宋体" w:cs="宋体"/>
          <w:b/>
          <w:bCs/>
          <w:sz w:val="28"/>
          <w:szCs w:val="28"/>
        </w:rPr>
      </w:pPr>
      <w:bookmarkStart w:id="6" w:name="_Toc9277"/>
      <w:r>
        <w:rPr>
          <w:rFonts w:hint="eastAsia" w:ascii="宋体" w:hAnsi="宋体" w:cs="宋体"/>
          <w:b/>
          <w:bCs/>
          <w:sz w:val="28"/>
          <w:szCs w:val="28"/>
        </w:rPr>
        <w:t>报告参考标准</w:t>
      </w:r>
      <w:bookmarkEnd w:id="6"/>
    </w:p>
    <w:p>
      <w:pPr>
        <w:keepNext w:val="0"/>
        <w:keepLines w:val="0"/>
        <w:pageBreakBefore w:val="0"/>
        <w:kinsoku/>
        <w:wordWrap/>
        <w:overflowPunct/>
        <w:topLinePunct w:val="0"/>
        <w:autoSpaceDE/>
        <w:autoSpaceDN/>
        <w:bidi w:val="0"/>
        <w:adjustRightInd/>
        <w:snapToGrid/>
        <w:spacing w:line="720" w:lineRule="auto"/>
        <w:ind w:firstLine="560" w:firstLineChars="200"/>
        <w:jc w:val="left"/>
        <w:textAlignment w:val="auto"/>
        <w:rPr>
          <w:rFonts w:hint="eastAsia"/>
          <w:lang w:eastAsia="zh-CN"/>
        </w:rPr>
      </w:pPr>
      <w:r>
        <w:rPr>
          <w:rFonts w:hint="eastAsia" w:ascii="宋体" w:hAnsi="宋体" w:cs="宋体"/>
          <w:sz w:val="28"/>
          <w:szCs w:val="28"/>
          <w:lang w:val="en-US" w:eastAsia="zh-CN"/>
        </w:rPr>
        <w:t>芜湖市地方标准DB3402</w:t>
      </w:r>
      <w:r>
        <w:rPr>
          <w:rFonts w:ascii="宋体" w:hAnsi="宋体" w:cs="宋体"/>
          <w:sz w:val="28"/>
          <w:szCs w:val="28"/>
        </w:rPr>
        <w:t>/</w:t>
      </w:r>
      <w:r>
        <w:rPr>
          <w:rFonts w:hint="eastAsia" w:ascii="宋体" w:hAnsi="宋体" w:cs="宋体"/>
          <w:sz w:val="28"/>
          <w:szCs w:val="28"/>
          <w:lang w:val="en-US" w:eastAsia="zh-CN"/>
        </w:rPr>
        <w:t>T 27</w:t>
      </w:r>
      <w:r>
        <w:rPr>
          <w:rFonts w:ascii="宋体" w:hAnsi="宋体" w:cs="宋体"/>
          <w:sz w:val="28"/>
          <w:szCs w:val="28"/>
        </w:rPr>
        <w:t>-</w:t>
      </w:r>
      <w:r>
        <w:rPr>
          <w:rFonts w:hint="eastAsia" w:ascii="宋体" w:hAnsi="宋体" w:cs="宋体"/>
          <w:sz w:val="28"/>
          <w:szCs w:val="28"/>
          <w:lang w:eastAsia="zh-CN"/>
        </w:rPr>
        <w:t>202</w:t>
      </w:r>
      <w:r>
        <w:rPr>
          <w:rFonts w:hint="eastAsia" w:ascii="宋体" w:hAnsi="宋体" w:cs="宋体"/>
          <w:sz w:val="28"/>
          <w:szCs w:val="28"/>
          <w:lang w:val="en-US" w:eastAsia="zh-CN"/>
        </w:rPr>
        <w:t>2</w:t>
      </w:r>
      <w:r>
        <w:rPr>
          <w:rFonts w:hint="eastAsia" w:ascii="宋体" w:hAnsi="宋体" w:cs="宋体"/>
          <w:sz w:val="28"/>
          <w:szCs w:val="28"/>
        </w:rPr>
        <w:t>《</w:t>
      </w:r>
      <w:r>
        <w:rPr>
          <w:rFonts w:hint="eastAsia" w:ascii="宋体" w:hAnsi="宋体" w:cs="宋体"/>
          <w:sz w:val="28"/>
          <w:szCs w:val="28"/>
          <w:lang w:val="en-US" w:eastAsia="zh-CN"/>
        </w:rPr>
        <w:t>企业社会责任报告编制及发布指南</w:t>
      </w:r>
      <w:r>
        <w:rPr>
          <w:rFonts w:hint="eastAsia" w:ascii="宋体" w:hAnsi="宋体" w:cs="宋体"/>
          <w:sz w:val="28"/>
          <w:szCs w:val="28"/>
        </w:rPr>
        <w:t>》</w:t>
      </w:r>
    </w:p>
    <w:p>
      <w:pPr>
        <w:spacing w:line="240" w:lineRule="atLeast"/>
        <w:jc w:val="center"/>
        <w:rPr>
          <w:rFonts w:hint="eastAsia" w:ascii="宋体" w:hAnsi="宋体" w:cs="宋体"/>
          <w:b/>
          <w:bCs/>
          <w:color w:val="000000"/>
          <w:kern w:val="0"/>
          <w:sz w:val="36"/>
          <w:szCs w:val="36"/>
          <w:lang w:val="en-US" w:eastAsia="zh-CN"/>
        </w:rPr>
      </w:pPr>
    </w:p>
    <w:p>
      <w:pPr>
        <w:spacing w:line="240" w:lineRule="atLeast"/>
        <w:jc w:val="center"/>
        <w:outlineLvl w:val="0"/>
        <w:rPr>
          <w:rFonts w:hint="eastAsia" w:ascii="宋体" w:hAnsi="宋体" w:eastAsia="宋体" w:cs="宋体"/>
          <w:b/>
          <w:bCs/>
          <w:color w:val="000000"/>
          <w:kern w:val="0"/>
          <w:sz w:val="36"/>
          <w:szCs w:val="36"/>
          <w:lang w:val="en-US" w:eastAsia="zh-CN"/>
        </w:rPr>
      </w:pPr>
      <w:bookmarkStart w:id="7" w:name="_Toc2556"/>
      <w:bookmarkStart w:id="8" w:name="_Toc10127"/>
      <w:r>
        <w:rPr>
          <w:rFonts w:hint="eastAsia" w:ascii="宋体" w:hAnsi="宋体" w:eastAsia="宋体" w:cs="宋体"/>
          <w:b/>
          <w:bCs/>
          <w:color w:val="000000"/>
          <w:kern w:val="0"/>
          <w:sz w:val="36"/>
          <w:szCs w:val="36"/>
          <w:lang w:val="en-US" w:eastAsia="zh-CN"/>
        </w:rPr>
        <w:t>关于我们</w:t>
      </w:r>
      <w:bookmarkEnd w:id="7"/>
      <w:bookmarkEnd w:id="8"/>
    </w:p>
    <w:p>
      <w:pPr>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eastAsia="仿宋_GB2312"/>
          <w:color w:val="auto"/>
          <w:sz w:val="32"/>
          <w:szCs w:val="32"/>
          <w:lang w:val="en-US" w:eastAsia="zh-CN"/>
        </w:rPr>
        <w:t>中泰证券股份有限公司芜湖中山南路证券营业部</w:t>
      </w:r>
      <w:r>
        <w:rPr>
          <w:rFonts w:hint="eastAsia" w:ascii="仿宋_GB2312" w:eastAsia="仿宋_GB2312"/>
          <w:sz w:val="32"/>
          <w:szCs w:val="32"/>
          <w:lang w:val="en-US" w:eastAsia="zh-CN"/>
        </w:rPr>
        <w:t>成立于2010年。多年来，秉持“以客户为中心”的核心服务理念，拥有一支专业的财富管理队伍，服务芜湖本地的政府、企事业单位以及所有投资者，帮助客户实现资产保值、增值的目标，打造综合金融服务平台，有效满足了客户日益增长的财富管理需求。</w:t>
      </w:r>
      <w:r>
        <w:rPr>
          <w:rFonts w:hint="eastAsia" w:ascii="仿宋_GB2312" w:hAnsi="仿宋_GB2312" w:eastAsia="仿宋_GB2312" w:cs="仿宋_GB2312"/>
          <w:bCs/>
          <w:sz w:val="32"/>
          <w:szCs w:val="32"/>
          <w:lang w:val="en-US" w:eastAsia="zh-CN"/>
        </w:rPr>
        <w:t>芜湖营业部提供便捷的线上开户渠道，同时也为投资者提供线下开户指导和协助，满足不同投资者的需求，并通过开展投资者教育活动，如举办讲座、培训等，向投资者普及证券市场知识、投资风险防范等内容，提高投资者的金融素养和风险意识。同时，保护投资者的合法权益，确保客户信息安全，在业务操作中遵循合规原则，为投资者提供公平、公正、公开的交易环境。</w:t>
      </w:r>
    </w:p>
    <w:p>
      <w:pPr>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截至2024年12月31日，总公司服务财富管理客户突破950万户，管理客户资产1.36万亿元；股权承销单数连续4年保持市场前10位，是全市场投行业务质量、债券业务执业质量同时获得A类评价的8家券商之一。</w:t>
      </w:r>
    </w:p>
    <w:p>
      <w:pPr>
        <w:keepNext w:val="0"/>
        <w:keepLines w:val="0"/>
        <w:pageBreakBefore w:val="0"/>
        <w:widowControl w:val="0"/>
        <w:kinsoku/>
        <w:wordWrap/>
        <w:overflowPunct/>
        <w:topLinePunct w:val="0"/>
        <w:autoSpaceDE/>
        <w:autoSpaceDN/>
        <w:bidi w:val="0"/>
        <w:adjustRightInd w:val="0"/>
        <w:snapToGrid w:val="0"/>
        <w:spacing w:line="620" w:lineRule="exact"/>
        <w:ind w:firstLine="560" w:firstLineChars="200"/>
        <w:textAlignment w:val="auto"/>
        <w:rPr>
          <w:rFonts w:hint="eastAsia" w:ascii="宋体" w:hAnsi="宋体" w:eastAsia="宋体" w:cs="宋体"/>
          <w:i w:val="0"/>
          <w:caps w:val="0"/>
          <w:color w:val="000000"/>
          <w:spacing w:val="0"/>
          <w:sz w:val="28"/>
          <w:szCs w:val="28"/>
          <w:shd w:val="clear" w:color="auto" w:fill="FFFFFF"/>
          <w:vertAlign w:val="baseline"/>
          <w:lang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spacing w:line="240" w:lineRule="atLeast"/>
        <w:jc w:val="center"/>
        <w:outlineLvl w:val="0"/>
        <w:rPr>
          <w:rFonts w:hint="default" w:ascii="宋体" w:hAnsi="宋体" w:eastAsia="宋体" w:cs="宋体"/>
          <w:b/>
          <w:bCs/>
          <w:color w:val="000000"/>
          <w:kern w:val="0"/>
          <w:sz w:val="36"/>
          <w:szCs w:val="36"/>
          <w:lang w:val="en-US" w:eastAsia="zh-CN"/>
        </w:rPr>
      </w:pPr>
      <w:bookmarkStart w:id="9" w:name="_Toc18856"/>
      <w:bookmarkStart w:id="10" w:name="_Toc24079"/>
      <w:bookmarkStart w:id="11" w:name="_Toc15448"/>
      <w:bookmarkStart w:id="12" w:name="_Toc3971"/>
      <w:bookmarkStart w:id="13" w:name="_Toc1010"/>
      <w:bookmarkStart w:id="14" w:name="_Toc3917"/>
      <w:r>
        <w:rPr>
          <w:rFonts w:hint="eastAsia" w:ascii="宋体" w:hAnsi="宋体" w:eastAsia="宋体" w:cs="宋体"/>
          <w:b/>
          <w:bCs/>
          <w:color w:val="000000"/>
          <w:kern w:val="0"/>
          <w:sz w:val="36"/>
          <w:szCs w:val="36"/>
          <w:lang w:val="en-US" w:eastAsia="zh-CN"/>
        </w:rPr>
        <w:t>企业社会责任理念</w:t>
      </w:r>
      <w:bookmarkEnd w:id="9"/>
      <w:bookmarkEnd w:id="10"/>
      <w:bookmarkEnd w:id="11"/>
      <w:bookmarkEnd w:id="12"/>
      <w:bookmarkEnd w:id="13"/>
      <w:bookmarkEnd w:id="14"/>
    </w:p>
    <w:p>
      <w:pPr>
        <w:spacing w:line="240" w:lineRule="atLeast"/>
        <w:ind w:firstLine="640" w:firstLineChars="200"/>
        <w:jc w:val="left"/>
        <w:outlineLvl w:val="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公司深入贯彻习近平总书记关于国有企业改革发展和党的建设的重要论述，认真落实党的二十大精神。锚定“走在前、开新局”总遵循，以推动高质量发展为核心，突出对标一流、提质增效。坚持并完善“永葆四心”和“1142”发展思路，将党建作为统领各项工作的关键，以客户需求为导向，实施区域突破、人才强企、转型提升和金融科技战略，以改革创新和风控合规为支撑，致力于实现公司的高质量发展。努力将公司打造成忠诚、合规、创新、美美与共的现代一流金融企业。</w:t>
      </w:r>
    </w:p>
    <w:p>
      <w:pPr>
        <w:pStyle w:val="2"/>
        <w:ind w:left="0" w:leftChars="0"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忠诚体现在坚守金融报国初心，把公司的功能性放在首位，积极响应国家战略，服务实体经济发展；将合规风控作为公司发展的底线与生命线，确保各项业务合法合规开展；把创新作为第一动力，融入战略布局、经营思维与企业文化，构建服务科技创新型企业的特色体系；美美与共倡导义利并举，在实现自身发展的同时，助力合作伙伴共同成长，营造良好的行业生态。</w:t>
      </w:r>
    </w:p>
    <w:p>
      <w:pPr>
        <w:pStyle w:val="2"/>
        <w:ind w:left="0" w:leftChars="0"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客户层面</w:t>
      </w:r>
      <w:r>
        <w:rPr>
          <w:rFonts w:hint="eastAsia" w:ascii="仿宋_GB2312" w:hAnsi="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秉持“以客户为中心”的服务理念，高度重视客户需求。通过持续探索财富管理转型模式，创新打造“中泰财富”高端系列品牌，围绕客户“人-家-企”服务需求，推出如“中泰财富梧桐树”股份管理平台、“财富泰山”家族信托服务等特色产品，满足客户多元化和个性化需求，陪伴客户实现财富的积累与传承，助力客户家业长青。在投资者保护方面，全力推动各创新业务投资者教育、改革的平稳落地，深化服务市场，加强一线督导，扩大投教范围，切实维护投资者合法权益。员工层面：积极培育中泰证券“家”文化，营造良好的工作氛围，让员工感受到归属感。通过提供广阔的发展空间与成长机会，实现与员工共创共享共赢，不断提升员工的幸福感与安全感，激发员工的工作积极性与创造力，促进员工与公司共同成长。</w:t>
      </w:r>
    </w:p>
    <w:p>
      <w:pPr>
        <w:pStyle w:val="2"/>
        <w:ind w:left="0" w:leftChars="0"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社会层面</w:t>
      </w:r>
      <w:r>
        <w:rPr>
          <w:rFonts w:hint="eastAsia" w:ascii="仿宋_GB2312" w:hAnsi="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主动参与社会公益事业，在脱贫攻坚时期，积极响应中国证券业协会倡议，实施“七个一”工程，助力多个国家级贫困县脱贫摘帽。如今，</w:t>
      </w:r>
      <w:r>
        <w:rPr>
          <w:rFonts w:hint="eastAsia" w:ascii="仿宋_GB2312" w:hAnsi="仿宋_GB2312" w:cs="仿宋_GB2312"/>
          <w:color w:val="auto"/>
          <w:kern w:val="2"/>
          <w:sz w:val="32"/>
          <w:szCs w:val="32"/>
          <w:lang w:val="en-US" w:eastAsia="zh-CN" w:bidi="ar-SA"/>
        </w:rPr>
        <w:t>公司</w:t>
      </w:r>
      <w:r>
        <w:rPr>
          <w:rFonts w:hint="eastAsia" w:ascii="仿宋_GB2312" w:hAnsi="仿宋_GB2312" w:eastAsia="仿宋_GB2312" w:cs="仿宋_GB2312"/>
          <w:color w:val="auto"/>
          <w:kern w:val="2"/>
          <w:sz w:val="32"/>
          <w:szCs w:val="32"/>
          <w:lang w:val="en-US" w:eastAsia="zh-CN" w:bidi="ar-SA"/>
        </w:rPr>
        <w:t>将工作重点转移到乡村振兴，凭借丰富经验，发挥券商优势，为乡村产业发展、农民增收贡献力量。同时，积极融入国家重大战略，如服务实体经济高质量发展，在山东区域股债市场项目融资规模显著，有力支持地方经济发展；</w:t>
      </w:r>
      <w:r>
        <w:rPr>
          <w:rFonts w:hint="eastAsia" w:ascii="仿宋_GB2312" w:hAnsi="仿宋_GB2312" w:cs="仿宋_GB2312"/>
          <w:color w:val="auto"/>
          <w:kern w:val="2"/>
          <w:sz w:val="32"/>
          <w:szCs w:val="32"/>
          <w:lang w:val="en-US" w:eastAsia="zh-CN" w:bidi="ar-SA"/>
        </w:rPr>
        <w:t>公司</w:t>
      </w:r>
      <w:r>
        <w:rPr>
          <w:rFonts w:hint="eastAsia" w:ascii="仿宋_GB2312" w:hAnsi="仿宋_GB2312" w:eastAsia="仿宋_GB2312" w:cs="仿宋_GB2312"/>
          <w:color w:val="auto"/>
          <w:kern w:val="2"/>
          <w:sz w:val="32"/>
          <w:szCs w:val="32"/>
          <w:lang w:val="en-US" w:eastAsia="zh-CN" w:bidi="ar-SA"/>
        </w:rPr>
        <w:t>响应政策要求，着力做好科技金融、绿色金融、普惠金融、养老金融、数字金融等 “五篇大文章”，为国家经济发展与社会进步提供优质金融服务。</w:t>
      </w:r>
    </w:p>
    <w:p>
      <w:pPr>
        <w:numPr>
          <w:ilvl w:val="0"/>
          <w:numId w:val="0"/>
        </w:numPr>
        <w:spacing w:line="240" w:lineRule="atLeast"/>
        <w:outlineLvl w:val="0"/>
        <w:rPr>
          <w:rFonts w:hint="eastAsia" w:ascii="黑体" w:eastAsia="黑体"/>
          <w:sz w:val="32"/>
          <w:szCs w:val="32"/>
          <w:lang w:val="en-US" w:eastAsia="zh-CN"/>
        </w:rPr>
      </w:pPr>
      <w:bookmarkStart w:id="15" w:name="_Toc13728"/>
      <w:bookmarkStart w:id="16" w:name="_Toc14320"/>
      <w:bookmarkStart w:id="17" w:name="_Toc16226"/>
      <w:bookmarkStart w:id="18" w:name="_Toc25006"/>
      <w:bookmarkStart w:id="19" w:name="_Toc8742"/>
      <w:bookmarkStart w:id="20" w:name="_Toc20699"/>
    </w:p>
    <w:p>
      <w:pPr>
        <w:numPr>
          <w:ilvl w:val="0"/>
          <w:numId w:val="0"/>
        </w:numPr>
        <w:spacing w:line="240" w:lineRule="atLeast"/>
        <w:outlineLvl w:val="0"/>
        <w:rPr>
          <w:rFonts w:hint="eastAsia" w:ascii="黑体" w:eastAsia="黑体"/>
          <w:sz w:val="32"/>
          <w:szCs w:val="32"/>
          <w:lang w:val="en-US" w:eastAsia="zh-CN"/>
        </w:rPr>
      </w:pPr>
    </w:p>
    <w:p>
      <w:pPr>
        <w:numPr>
          <w:ilvl w:val="0"/>
          <w:numId w:val="0"/>
        </w:numPr>
        <w:spacing w:line="240" w:lineRule="atLeast"/>
        <w:outlineLvl w:val="0"/>
        <w:rPr>
          <w:rFonts w:hint="eastAsia" w:ascii="黑体" w:eastAsia="黑体"/>
          <w:sz w:val="32"/>
          <w:szCs w:val="32"/>
          <w:lang w:val="en-US" w:eastAsia="zh-CN"/>
        </w:rPr>
      </w:pPr>
    </w:p>
    <w:p>
      <w:pPr>
        <w:numPr>
          <w:ilvl w:val="0"/>
          <w:numId w:val="0"/>
        </w:numPr>
        <w:spacing w:line="240" w:lineRule="atLeast"/>
        <w:outlineLvl w:val="0"/>
        <w:rPr>
          <w:rFonts w:hint="eastAsia" w:ascii="黑体" w:eastAsia="黑体"/>
          <w:sz w:val="32"/>
          <w:szCs w:val="32"/>
          <w:lang w:val="en-US" w:eastAsia="zh-CN"/>
        </w:rPr>
      </w:pPr>
    </w:p>
    <w:p>
      <w:pPr>
        <w:numPr>
          <w:ilvl w:val="0"/>
          <w:numId w:val="0"/>
        </w:numPr>
        <w:spacing w:line="240" w:lineRule="atLeast"/>
        <w:outlineLvl w:val="0"/>
        <w:rPr>
          <w:rFonts w:hint="eastAsia" w:ascii="黑体" w:eastAsia="黑体"/>
          <w:sz w:val="32"/>
          <w:szCs w:val="32"/>
          <w:lang w:val="en-US" w:eastAsia="zh-CN"/>
        </w:rPr>
      </w:pPr>
    </w:p>
    <w:p>
      <w:pPr>
        <w:numPr>
          <w:ilvl w:val="0"/>
          <w:numId w:val="0"/>
        </w:numPr>
        <w:spacing w:line="240" w:lineRule="atLeast"/>
        <w:outlineLvl w:val="0"/>
        <w:rPr>
          <w:rFonts w:hint="eastAsia" w:ascii="仿宋_GB2312" w:eastAsia="仿宋_GB2312"/>
          <w:sz w:val="32"/>
          <w:szCs w:val="32"/>
          <w:lang w:val="en-US" w:eastAsia="zh-CN"/>
        </w:rPr>
      </w:pPr>
      <w:r>
        <w:rPr>
          <w:rFonts w:hint="eastAsia" w:ascii="黑体" w:eastAsia="黑体"/>
          <w:sz w:val="32"/>
          <w:szCs w:val="32"/>
          <w:lang w:val="en-US" w:eastAsia="zh-CN"/>
        </w:rPr>
        <w:t>一</w:t>
      </w:r>
      <w:r>
        <w:rPr>
          <w:rFonts w:hint="eastAsia" w:ascii="黑体" w:eastAsia="黑体"/>
          <w:sz w:val="32"/>
          <w:szCs w:val="32"/>
          <w:lang w:eastAsia="zh-CN"/>
        </w:rPr>
        <w:t>、</w:t>
      </w:r>
      <w:r>
        <w:rPr>
          <w:rFonts w:hint="eastAsia" w:ascii="黑体" w:eastAsia="黑体"/>
          <w:sz w:val="32"/>
          <w:szCs w:val="32"/>
        </w:rPr>
        <w:t>经营责任</w:t>
      </w:r>
      <w:r>
        <w:rPr>
          <w:rFonts w:hint="eastAsia" w:ascii="仿宋_GB2312" w:eastAsia="仿宋_GB2312"/>
          <w:sz w:val="32"/>
          <w:szCs w:val="32"/>
          <w:lang w:val="en-US" w:eastAsia="zh-CN"/>
        </w:rPr>
        <w:t> </w:t>
      </w:r>
      <w:bookmarkEnd w:id="15"/>
      <w:bookmarkEnd w:id="16"/>
      <w:bookmarkEnd w:id="17"/>
      <w:bookmarkEnd w:id="18"/>
      <w:bookmarkEnd w:id="19"/>
      <w:bookmarkEnd w:id="20"/>
    </w:p>
    <w:p>
      <w:pPr>
        <w:ind w:firstLine="640" w:firstLineChars="200"/>
        <w:outlineLvl w:val="1"/>
        <w:rPr>
          <w:rFonts w:hint="eastAsia" w:ascii="仿宋_GB2312" w:eastAsia="仿宋_GB2312"/>
          <w:sz w:val="32"/>
          <w:szCs w:val="32"/>
          <w:lang w:val="en-US" w:eastAsia="zh-CN"/>
        </w:rPr>
      </w:pPr>
      <w:bookmarkStart w:id="21" w:name="_Toc23992"/>
      <w:bookmarkStart w:id="22" w:name="_Toc21207"/>
      <w:bookmarkStart w:id="23" w:name="_Toc20449"/>
      <w:bookmarkStart w:id="24" w:name="_Toc1755"/>
      <w:bookmarkStart w:id="25" w:name="_Toc22532"/>
      <w:bookmarkStart w:id="26" w:name="_Toc23498"/>
      <w:bookmarkStart w:id="27" w:name="_Toc18644"/>
      <w:r>
        <w:rPr>
          <w:rFonts w:hint="eastAsia" w:ascii="楷体" w:hAnsi="楷体" w:eastAsia="楷体" w:cs="楷体"/>
          <w:sz w:val="32"/>
          <w:szCs w:val="32"/>
          <w:lang w:val="en-US" w:eastAsia="zh-CN"/>
        </w:rPr>
        <w:t>（一）利润与经济效益方面</w:t>
      </w:r>
      <w:bookmarkEnd w:id="21"/>
      <w:bookmarkEnd w:id="22"/>
      <w:bookmarkEnd w:id="23"/>
      <w:bookmarkEnd w:id="24"/>
      <w:bookmarkEnd w:id="25"/>
      <w:bookmarkEnd w:id="26"/>
      <w:bookmarkEnd w:id="27"/>
    </w:p>
    <w:p>
      <w:pPr>
        <w:ind w:firstLine="640" w:firstLineChars="200"/>
        <w:rPr>
          <w:rFonts w:hint="eastAsia" w:ascii="仿宋_GB2312" w:eastAsia="仿宋_GB2312"/>
          <w:color w:val="auto"/>
          <w:sz w:val="32"/>
          <w:szCs w:val="32"/>
          <w:highlight w:val="none"/>
          <w:lang w:val="en-US" w:eastAsia="zh-CN"/>
        </w:rPr>
      </w:pPr>
      <w:bookmarkStart w:id="28" w:name="_Toc10917"/>
      <w:r>
        <w:rPr>
          <w:rFonts w:hint="eastAsia" w:ascii="仿宋_GB2312" w:eastAsia="仿宋_GB2312"/>
          <w:color w:val="auto"/>
          <w:sz w:val="32"/>
          <w:szCs w:val="32"/>
          <w:lang w:val="en-US" w:eastAsia="zh-CN"/>
        </w:rPr>
        <w:t>营业部2024年营业收</w:t>
      </w:r>
      <w:r>
        <w:rPr>
          <w:rFonts w:hint="eastAsia" w:ascii="仿宋_GB2312" w:eastAsia="仿宋_GB2312"/>
          <w:color w:val="auto"/>
          <w:sz w:val="32"/>
          <w:szCs w:val="32"/>
          <w:highlight w:val="none"/>
          <w:lang w:val="en-US" w:eastAsia="zh-CN"/>
        </w:rPr>
        <w:t>入1485.36万，净利润420.47万，纳税61.25万元。</w:t>
      </w:r>
    </w:p>
    <w:bookmarkEnd w:id="28"/>
    <w:p>
      <w:pPr>
        <w:ind w:firstLine="640" w:firstLineChars="200"/>
        <w:outlineLvl w:val="1"/>
        <w:rPr>
          <w:rFonts w:hint="eastAsia" w:ascii="楷体" w:hAnsi="楷体" w:eastAsia="楷体" w:cs="楷体"/>
          <w:b/>
          <w:bCs/>
          <w:color w:val="auto"/>
          <w:sz w:val="32"/>
          <w:szCs w:val="32"/>
          <w:lang w:val="en-US" w:eastAsia="zh-CN"/>
        </w:rPr>
      </w:pPr>
      <w:bookmarkStart w:id="29" w:name="_Toc6711"/>
      <w:bookmarkStart w:id="30" w:name="_Toc14456"/>
      <w:bookmarkStart w:id="31" w:name="_Toc4826"/>
      <w:bookmarkStart w:id="32" w:name="_Toc28748"/>
      <w:bookmarkStart w:id="33" w:name="_Toc20208"/>
      <w:bookmarkStart w:id="34" w:name="_Toc20932"/>
      <w:bookmarkStart w:id="35" w:name="_Toc25594"/>
      <w:r>
        <w:rPr>
          <w:rFonts w:hint="eastAsia" w:ascii="楷体" w:hAnsi="楷体" w:eastAsia="楷体" w:cs="楷体"/>
          <w:color w:val="auto"/>
          <w:sz w:val="32"/>
          <w:szCs w:val="32"/>
          <w:lang w:val="en-US" w:eastAsia="zh-CN"/>
        </w:rPr>
        <w:t>（二）企业信用等级方面</w:t>
      </w:r>
      <w:bookmarkEnd w:id="29"/>
      <w:bookmarkEnd w:id="30"/>
      <w:bookmarkEnd w:id="31"/>
      <w:bookmarkEnd w:id="32"/>
      <w:bookmarkEnd w:id="33"/>
      <w:bookmarkEnd w:id="34"/>
      <w:bookmarkEnd w:id="35"/>
      <w:r>
        <w:rPr>
          <w:rFonts w:hint="eastAsia" w:ascii="楷体" w:hAnsi="楷体" w:eastAsia="楷体" w:cs="楷体"/>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2"/>
        <w:rPr>
          <w:rFonts w:hint="eastAsia" w:ascii="仿宋_GB2312" w:eastAsia="仿宋_GB2312"/>
          <w:sz w:val="32"/>
          <w:szCs w:val="32"/>
          <w:lang w:val="en-US" w:eastAsia="zh-CN"/>
        </w:rPr>
      </w:pPr>
      <w:bookmarkStart w:id="36" w:name="_Toc1952"/>
      <w:bookmarkStart w:id="37" w:name="_Toc30180"/>
      <w:bookmarkStart w:id="38" w:name="_Toc30286"/>
      <w:bookmarkStart w:id="39" w:name="_Toc26036"/>
      <w:r>
        <w:rPr>
          <w:rFonts w:hint="eastAsia" w:ascii="仿宋_GB2312" w:eastAsia="仿宋_GB2312"/>
          <w:sz w:val="32"/>
          <w:szCs w:val="32"/>
          <w:lang w:val="en-US" w:eastAsia="zh-CN"/>
        </w:rPr>
        <w:t>1、守法诚信方面</w:t>
      </w:r>
      <w:bookmarkEnd w:id="36"/>
      <w:bookmarkEnd w:id="37"/>
      <w:bookmarkEnd w:id="38"/>
      <w:bookmarkEnd w:id="39"/>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一是遵守法律法规和社会公德、商业道德以及行业规则。营业部坚持依法经营，诚实守信。在经营中，模范遵守法律法规和社会公德、商业道德以及行业规则，及时足额纳税，忠实履行合同，恪守商业信用，反对不正当竞争；切实提高服务水平，努力为客户提供优质、</w:t>
      </w:r>
      <w:r>
        <w:rPr>
          <w:rFonts w:hint="eastAsia" w:ascii="仿宋_GB2312" w:eastAsia="仿宋_GB2312"/>
          <w:sz w:val="32"/>
          <w:szCs w:val="32"/>
          <w:lang w:val="en-US" w:eastAsia="zh-CN"/>
        </w:rPr>
        <w:fldChar w:fldCharType="begin"/>
      </w:r>
      <w:r>
        <w:rPr>
          <w:rFonts w:hint="eastAsia" w:ascii="仿宋_GB2312" w:eastAsia="仿宋_GB2312"/>
          <w:sz w:val="32"/>
          <w:szCs w:val="32"/>
          <w:lang w:val="en-US" w:eastAsia="zh-CN"/>
        </w:rPr>
        <w:instrText xml:space="preserve"> HYPERLINK "http://cpro.baidu.com/cpro/ui/uijs.php?adclass=0&amp;app_id=0&amp;c=news&amp;cf=1001&amp;ch=0&amp;di=128&amp;fv=0&amp;is_app=0&amp;jk=c299f7b00763b1cd&amp;k=%B0%B2%C8%AB&amp;k0=%B0%B2%C8%AB&amp;kdi0=0&amp;luki=8&amp;n=10&amp;p=baidu&amp;q=baidusiteerror_cpr&amp;rb=1&amp;rs=1&amp;seller_id=1&amp;sid=cdb16307b0f799c2&amp;ssp2=1&amp;stid=0&amp;t=tpclicked3_hc&amp;tu=u1698901&amp;u=http%3A%2F%2F3y%2Euu456%2Ecom%2Fbp%2D4s317b4dcf84bqds28ea7a3s%2D1%2Ehtml&amp;urlid=0" \t "_blank" </w:instrText>
      </w:r>
      <w:r>
        <w:rPr>
          <w:rFonts w:hint="eastAsia" w:ascii="仿宋_GB2312" w:eastAsia="仿宋_GB2312"/>
          <w:sz w:val="32"/>
          <w:szCs w:val="32"/>
          <w:lang w:val="en-US" w:eastAsia="zh-CN"/>
        </w:rPr>
        <w:fldChar w:fldCharType="separate"/>
      </w:r>
      <w:r>
        <w:rPr>
          <w:rFonts w:hint="eastAsia" w:ascii="仿宋_GB2312" w:eastAsia="仿宋_GB2312"/>
          <w:sz w:val="32"/>
          <w:szCs w:val="32"/>
          <w:lang w:val="en-US" w:eastAsia="zh-CN"/>
        </w:rPr>
        <w:t>安全</w:t>
      </w:r>
      <w:r>
        <w:rPr>
          <w:rFonts w:hint="eastAsia" w:ascii="仿宋_GB2312" w:eastAsia="仿宋_GB2312"/>
          <w:sz w:val="32"/>
          <w:szCs w:val="32"/>
          <w:lang w:val="en-US" w:eastAsia="zh-CN"/>
        </w:rPr>
        <w:fldChar w:fldCharType="end"/>
      </w:r>
      <w:r>
        <w:rPr>
          <w:rFonts w:hint="eastAsia" w:ascii="仿宋_GB2312" w:eastAsia="仿宋_GB2312"/>
          <w:sz w:val="32"/>
          <w:szCs w:val="32"/>
          <w:lang w:val="en-US" w:eastAsia="zh-CN"/>
        </w:rPr>
        <w:t xml:space="preserve">、科学、可靠的服务，取得广大客户的信赖与认同；确保经营安全，努力为职工提供安全、健康、卫生的工作和生活环境，保障职工职业健康，遵守法律法规和社会公德、商业道德以及行业规则，无重大违法、违规的负面信息。 </w:t>
      </w:r>
    </w:p>
    <w:p>
      <w:pPr>
        <w:ind w:firstLine="640" w:firstLineChars="200"/>
        <w:outlineLvl w:val="2"/>
        <w:rPr>
          <w:rFonts w:hint="eastAsia" w:ascii="仿宋_GB2312" w:eastAsia="仿宋_GB2312"/>
          <w:sz w:val="32"/>
          <w:szCs w:val="32"/>
          <w:lang w:val="en-US" w:eastAsia="zh-CN"/>
        </w:rPr>
      </w:pPr>
      <w:bookmarkStart w:id="40" w:name="_Toc2002"/>
      <w:bookmarkStart w:id="41" w:name="_Toc8418"/>
      <w:bookmarkStart w:id="42" w:name="_Toc19704"/>
      <w:bookmarkStart w:id="43" w:name="_Toc22426"/>
      <w:r>
        <w:rPr>
          <w:rFonts w:hint="eastAsia" w:ascii="仿宋_GB2312" w:eastAsia="仿宋_GB2312"/>
          <w:sz w:val="32"/>
          <w:szCs w:val="32"/>
          <w:lang w:val="en-US" w:eastAsia="zh-CN"/>
        </w:rPr>
        <w:t>2、反对不正当竞争</w:t>
      </w:r>
      <w:bookmarkEnd w:id="40"/>
      <w:bookmarkEnd w:id="41"/>
      <w:bookmarkEnd w:id="42"/>
      <w:bookmarkEnd w:id="43"/>
      <w:r>
        <w:rPr>
          <w:rFonts w:hint="eastAsia" w:ascii="仿宋_GB2312" w:eastAsia="仿宋_GB2312"/>
          <w:sz w:val="32"/>
          <w:szCs w:val="32"/>
          <w:lang w:val="en-US" w:eastAsia="zh-CN"/>
        </w:rPr>
        <w:t xml:space="preserve"> </w:t>
      </w:r>
    </w:p>
    <w:p>
      <w:pPr>
        <w:ind w:firstLine="320" w:firstLineChars="10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杜绝商业活动中的腐败行为。对外营业部凭借一流的服务赢得客户满意，对内开展党风廉政建设活动，杜绝商业活动中的腐败行为。</w:t>
      </w:r>
    </w:p>
    <w:p>
      <w:pPr>
        <w:ind w:firstLine="640" w:firstLineChars="200"/>
        <w:outlineLvl w:val="2"/>
        <w:rPr>
          <w:rFonts w:hint="eastAsia" w:ascii="仿宋_GB2312" w:eastAsia="仿宋_GB2312"/>
          <w:sz w:val="32"/>
          <w:szCs w:val="32"/>
          <w:lang w:val="en-US" w:eastAsia="zh-CN"/>
        </w:rPr>
      </w:pPr>
      <w:bookmarkStart w:id="44" w:name="_Toc4702"/>
      <w:bookmarkStart w:id="45" w:name="_Toc16536"/>
      <w:bookmarkStart w:id="46" w:name="_Toc2979"/>
      <w:bookmarkStart w:id="47" w:name="_Toc9705"/>
      <w:r>
        <w:rPr>
          <w:rFonts w:hint="eastAsia" w:ascii="仿宋_GB2312" w:eastAsia="仿宋_GB2312"/>
          <w:sz w:val="32"/>
          <w:szCs w:val="32"/>
          <w:lang w:val="en-US" w:eastAsia="zh-CN"/>
        </w:rPr>
        <w:t>3、社会诚信形象方面</w:t>
      </w:r>
      <w:bookmarkEnd w:id="44"/>
      <w:bookmarkEnd w:id="45"/>
      <w:bookmarkEnd w:id="46"/>
      <w:bookmarkEnd w:id="47"/>
    </w:p>
    <w:p>
      <w:pPr>
        <w:ind w:firstLine="640" w:firstLineChars="200"/>
        <w:jc w:val="left"/>
        <w:rPr>
          <w:rFonts w:hint="eastAsia"/>
          <w:vertAlign w:val="baseline"/>
          <w:lang w:val="en-US" w:eastAsia="zh-CN"/>
        </w:rPr>
      </w:pPr>
      <w:r>
        <w:rPr>
          <w:rFonts w:hint="eastAsia" w:ascii="仿宋_GB2312" w:eastAsia="仿宋_GB2312"/>
          <w:sz w:val="32"/>
          <w:szCs w:val="32"/>
          <w:lang w:val="en-US" w:eastAsia="zh-CN"/>
        </w:rPr>
        <w:t>履行营业部职责，加强投资者教育管理， 投资者教育是营业部规范发展、合规经营的重要工作之一。2024年，营业部秉承开、公平的原则，以积极、主动的态度，开展投资者教育工作，确保真实、准确、完整地披露信息。2024年，营业部组织了多种形式的投资者及分析师交流活动；</w:t>
      </w:r>
      <w:r>
        <w:rPr>
          <w:rFonts w:hint="eastAsia" w:ascii="仿宋_GB2312" w:eastAsia="仿宋_GB2312"/>
          <w:color w:val="auto"/>
          <w:sz w:val="32"/>
          <w:szCs w:val="32"/>
          <w:lang w:val="en-US" w:eastAsia="zh-CN"/>
        </w:rPr>
        <w:t>公司召开大型报告会1次，小型座谈会10多场，</w:t>
      </w:r>
      <w:r>
        <w:rPr>
          <w:rFonts w:hint="eastAsia" w:ascii="仿宋_GB2312" w:eastAsia="仿宋_GB2312"/>
          <w:sz w:val="32"/>
          <w:szCs w:val="32"/>
          <w:lang w:val="en-US" w:eastAsia="zh-CN"/>
        </w:rPr>
        <w:t>有效增进了投资者对营业部投资价值的了解；不断优化投资者热线、信箱和网站的功能，以便投资者快捷、及时、全面地了解营业部情况。营业部投资者教育和信息披露工作获得了市场的广泛认可。</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jc w:val="left"/>
              <w:rPr>
                <w:rFonts w:hint="eastAsia"/>
                <w:vertAlign w:val="baseline"/>
                <w:lang w:val="en-US" w:eastAsia="zh-CN"/>
              </w:rPr>
            </w:pPr>
            <w:r>
              <w:rPr>
                <w:rFonts w:hint="eastAsia"/>
                <w:lang w:val="en-US" w:eastAsia="zh-CN"/>
              </w:rPr>
              <w:drawing>
                <wp:inline distT="0" distB="0" distL="114300" distR="114300">
                  <wp:extent cx="5264785" cy="3947160"/>
                  <wp:effectExtent l="0" t="0" r="12065" b="15240"/>
                  <wp:docPr id="2" name="图片 71" descr="467af5e2258cec6259158596b2d9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1" descr="467af5e2258cec6259158596b2d92a0"/>
                          <pic:cNvPicPr>
                            <a:picLocks noChangeAspect="1"/>
                          </pic:cNvPicPr>
                        </pic:nvPicPr>
                        <pic:blipFill>
                          <a:blip r:embed="rId9"/>
                          <a:stretch>
                            <a:fillRect/>
                          </a:stretch>
                        </pic:blipFill>
                        <pic:spPr>
                          <a:xfrm>
                            <a:off x="0" y="0"/>
                            <a:ext cx="5264785" cy="3947160"/>
                          </a:xfrm>
                          <a:prstGeom prst="rect">
                            <a:avLst/>
                          </a:prstGeom>
                          <a:noFill/>
                          <a:ln>
                            <a:noFill/>
                          </a:ln>
                        </pic:spPr>
                      </pic:pic>
                    </a:graphicData>
                  </a:graphic>
                </wp:inline>
              </w:drawing>
            </w:r>
          </w:p>
        </w:tc>
      </w:tr>
    </w:tbl>
    <w:p>
      <w:pPr>
        <w:jc w:val="center"/>
        <w:rPr>
          <w:rFonts w:hint="eastAsia"/>
          <w:lang w:val="en-US" w:eastAsia="zh-CN"/>
        </w:rPr>
      </w:pPr>
      <w:r>
        <w:rPr>
          <w:rFonts w:hint="eastAsia" w:ascii="楷体" w:hAnsi="楷体" w:eastAsia="楷体" w:cs="楷体"/>
          <w:sz w:val="28"/>
          <w:szCs w:val="28"/>
          <w:lang w:val="en-US" w:eastAsia="zh-CN"/>
        </w:rPr>
        <w:t>（图示为营业部2024年于海螺大酒店举办投资专题报告会）</w:t>
      </w:r>
    </w:p>
    <w:p>
      <w:pPr>
        <w:numPr>
          <w:ilvl w:val="0"/>
          <w:numId w:val="1"/>
        </w:numPr>
        <w:ind w:firstLine="320" w:firstLineChars="100"/>
        <w:outlineLvl w:val="2"/>
        <w:rPr>
          <w:rFonts w:hint="eastAsia" w:ascii="仿宋_GB2312" w:hAnsi="Times New Roman" w:eastAsia="仿宋_GB2312" w:cs="Times New Roman"/>
          <w:sz w:val="32"/>
          <w:szCs w:val="32"/>
          <w:lang w:val="en-US" w:eastAsia="zh-CN"/>
        </w:rPr>
      </w:pPr>
      <w:bookmarkStart w:id="48" w:name="_Toc29596"/>
      <w:bookmarkStart w:id="49" w:name="_Toc25811"/>
      <w:bookmarkStart w:id="50" w:name="_Toc12067"/>
      <w:bookmarkStart w:id="51" w:name="_Toc20860"/>
      <w:r>
        <w:rPr>
          <w:rFonts w:hint="eastAsia" w:ascii="仿宋_GB2312" w:hAnsi="Times New Roman" w:eastAsia="仿宋_GB2312" w:cs="Times New Roman"/>
          <w:sz w:val="32"/>
          <w:szCs w:val="32"/>
          <w:lang w:val="en-US" w:eastAsia="zh-CN"/>
        </w:rPr>
        <w:t>防范金融风险责任</w:t>
      </w:r>
      <w:bookmarkEnd w:id="48"/>
      <w:bookmarkEnd w:id="49"/>
      <w:bookmarkEnd w:id="50"/>
      <w:bookmarkEnd w:id="51"/>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作为金融行业，控制风险永远是首位。营业部在安徽证监局，中国人民银行芜湖市分行的监管和支持下，在公司总部制度约束下，合规经营，获得了监管单位的高度认可。</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日常经营中，</w:t>
      </w:r>
      <w:r>
        <w:rPr>
          <w:rFonts w:hint="eastAsia" w:ascii="仿宋_GB2312" w:hAnsi="Times New Roman" w:eastAsia="仿宋_GB2312" w:cs="Times New Roman"/>
          <w:sz w:val="32"/>
          <w:szCs w:val="32"/>
          <w:lang w:val="en-US" w:eastAsia="zh-CN"/>
        </w:rPr>
        <w:t>营业</w:t>
      </w:r>
      <w:r>
        <w:rPr>
          <w:rFonts w:hint="eastAsia" w:ascii="仿宋_GB2312" w:eastAsia="仿宋_GB2312"/>
          <w:sz w:val="32"/>
          <w:szCs w:val="32"/>
          <w:lang w:val="en-US" w:eastAsia="zh-CN"/>
        </w:rPr>
        <w:t>部严格落实客户实名制，从开户环节严控风险。同时通过开户环节让客户阅读并签署风险揭示书、每周股市沙龙活动对广大投资者进行风险揭示教育工作提升投资者对证券市场的认知度和成熟度，只有成熟的投资者参与证券市场方能让证券市场更加的成熟和稳定。</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反洗钱方面，</w:t>
      </w:r>
      <w:r>
        <w:rPr>
          <w:rFonts w:hint="eastAsia" w:ascii="仿宋_GB2312" w:hAnsi="Times New Roman" w:eastAsia="仿宋_GB2312" w:cs="Times New Roman"/>
          <w:sz w:val="32"/>
          <w:szCs w:val="32"/>
          <w:lang w:val="en-US" w:eastAsia="zh-CN"/>
        </w:rPr>
        <w:t>营业</w:t>
      </w:r>
      <w:r>
        <w:rPr>
          <w:rFonts w:hint="eastAsia" w:ascii="仿宋_GB2312" w:eastAsia="仿宋_GB2312"/>
          <w:sz w:val="32"/>
          <w:szCs w:val="32"/>
          <w:lang w:val="en-US" w:eastAsia="zh-CN"/>
        </w:rPr>
        <w:t>部对客户进行风险测试确定客户风险等级，每两年重新测评修正客户风险承受能力。每日通过集中监控系统监控客户异常交易、大额交易、可疑交易等行为并及时确认是否存在违规行为，对于确定为违规行为将第一时间把客户信息上报人民银行反洗钱科，为人民银行进一步监管提供应有的责任和义务。</w:t>
      </w:r>
    </w:p>
    <w:p>
      <w:pPr>
        <w:pStyle w:val="2"/>
        <w:rPr>
          <w:rFonts w:hint="default"/>
          <w:lang w:val="en-US" w:eastAsia="zh-CN"/>
        </w:rPr>
      </w:pPr>
    </w:p>
    <w:tbl>
      <w:tblPr>
        <w:tblStyle w:val="16"/>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00"/>
        <w:gridCol w:w="4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7" w:hRule="atLeast"/>
        </w:trPr>
        <w:tc>
          <w:tcPr>
            <w:tcW w:w="4200" w:type="dxa"/>
            <w:noWrap w:val="0"/>
            <w:vAlign w:val="top"/>
          </w:tcPr>
          <w:p>
            <w:pPr>
              <w:pStyle w:val="2"/>
              <w:ind w:left="0" w:leftChars="0" w:firstLine="0" w:firstLineChars="0"/>
              <w:rPr>
                <w:rFonts w:hint="default"/>
                <w:vertAlign w:val="baseline"/>
                <w:lang w:val="en-US" w:eastAsia="zh-CN"/>
              </w:rPr>
            </w:pPr>
            <w:r>
              <w:rPr>
                <w:rFonts w:hint="default"/>
                <w:lang w:val="en-US" w:eastAsia="zh-CN"/>
              </w:rPr>
              <w:drawing>
                <wp:inline distT="0" distB="0" distL="114300" distR="114300">
                  <wp:extent cx="2505075" cy="2663825"/>
                  <wp:effectExtent l="0" t="0" r="9525" b="3175"/>
                  <wp:docPr id="3" name="图片 66" descr="c00472224cbc5d886f70b7fb64890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6" descr="c00472224cbc5d886f70b7fb648904d"/>
                          <pic:cNvPicPr>
                            <a:picLocks noChangeAspect="1"/>
                          </pic:cNvPicPr>
                        </pic:nvPicPr>
                        <pic:blipFill>
                          <a:blip r:embed="rId10"/>
                          <a:stretch>
                            <a:fillRect/>
                          </a:stretch>
                        </pic:blipFill>
                        <pic:spPr>
                          <a:xfrm>
                            <a:off x="0" y="0"/>
                            <a:ext cx="2505075" cy="2663825"/>
                          </a:xfrm>
                          <a:prstGeom prst="rect">
                            <a:avLst/>
                          </a:prstGeom>
                          <a:noFill/>
                          <a:ln>
                            <a:noFill/>
                          </a:ln>
                        </pic:spPr>
                      </pic:pic>
                    </a:graphicData>
                  </a:graphic>
                </wp:inline>
              </w:drawing>
            </w:r>
          </w:p>
        </w:tc>
        <w:tc>
          <w:tcPr>
            <w:tcW w:w="4200" w:type="dxa"/>
            <w:noWrap w:val="0"/>
            <w:vAlign w:val="top"/>
          </w:tcPr>
          <w:p>
            <w:pPr>
              <w:pStyle w:val="2"/>
              <w:ind w:left="0" w:leftChars="0" w:firstLine="0" w:firstLineChars="0"/>
              <w:rPr>
                <w:rFonts w:hint="default"/>
                <w:vertAlign w:val="baseline"/>
                <w:lang w:val="en-US" w:eastAsia="zh-CN"/>
              </w:rPr>
            </w:pPr>
            <w:r>
              <w:rPr>
                <w:rFonts w:hint="default"/>
                <w:lang w:val="en-US" w:eastAsia="zh-CN"/>
              </w:rPr>
              <w:drawing>
                <wp:inline distT="0" distB="0" distL="114300" distR="114300">
                  <wp:extent cx="2508885" cy="2618105"/>
                  <wp:effectExtent l="0" t="0" r="5715" b="3175"/>
                  <wp:docPr id="4" name="图片 65" descr="002ba874396e8b338c1a30c893c66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5" descr="002ba874396e8b338c1a30c893c661d"/>
                          <pic:cNvPicPr>
                            <a:picLocks noChangeAspect="1"/>
                          </pic:cNvPicPr>
                        </pic:nvPicPr>
                        <pic:blipFill>
                          <a:blip r:embed="rId11"/>
                          <a:stretch>
                            <a:fillRect/>
                          </a:stretch>
                        </pic:blipFill>
                        <pic:spPr>
                          <a:xfrm>
                            <a:off x="0" y="0"/>
                            <a:ext cx="2508885" cy="261810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7" w:hRule="atLeast"/>
        </w:trPr>
        <w:tc>
          <w:tcPr>
            <w:tcW w:w="8400" w:type="dxa"/>
            <w:gridSpan w:val="2"/>
            <w:noWrap w:val="0"/>
            <w:vAlign w:val="top"/>
          </w:tcPr>
          <w:p>
            <w:pPr>
              <w:pStyle w:val="2"/>
              <w:ind w:left="0" w:leftChars="0" w:firstLine="0" w:firstLineChars="0"/>
              <w:jc w:val="center"/>
              <w:rPr>
                <w:rFonts w:hint="default"/>
                <w:lang w:val="en-US" w:eastAsia="zh-CN"/>
              </w:rPr>
            </w:pPr>
            <w:r>
              <w:drawing>
                <wp:inline distT="0" distB="0" distL="114300" distR="114300">
                  <wp:extent cx="5093335" cy="3324225"/>
                  <wp:effectExtent l="0" t="0" r="12065" b="9525"/>
                  <wp:docPr id="5" name="图片 6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9" descr="IMG_256"/>
                          <pic:cNvPicPr>
                            <a:picLocks noChangeAspect="1"/>
                          </pic:cNvPicPr>
                        </pic:nvPicPr>
                        <pic:blipFill>
                          <a:blip r:embed="rId12"/>
                          <a:stretch>
                            <a:fillRect/>
                          </a:stretch>
                        </pic:blipFill>
                        <pic:spPr>
                          <a:xfrm>
                            <a:off x="0" y="0"/>
                            <a:ext cx="5093335" cy="3324225"/>
                          </a:xfrm>
                          <a:prstGeom prst="rect">
                            <a:avLst/>
                          </a:prstGeom>
                          <a:noFill/>
                          <a:ln>
                            <a:noFill/>
                          </a:ln>
                        </pic:spPr>
                      </pic:pic>
                    </a:graphicData>
                  </a:graphic>
                </wp:inline>
              </w:drawing>
            </w:r>
          </w:p>
        </w:tc>
      </w:tr>
    </w:tbl>
    <w:p>
      <w:pPr>
        <w:numPr>
          <w:ilvl w:val="0"/>
          <w:numId w:val="0"/>
        </w:numPr>
        <w:jc w:val="center"/>
        <w:rPr>
          <w:rFonts w:hint="eastAsia" w:ascii="仿宋_GB2312" w:eastAsia="仿宋_GB2312"/>
          <w:sz w:val="32"/>
          <w:szCs w:val="32"/>
          <w:lang w:val="en-US" w:eastAsia="zh-CN"/>
        </w:rPr>
      </w:pPr>
      <w:r>
        <w:rPr>
          <w:rFonts w:hint="eastAsia" w:ascii="楷体" w:hAnsi="楷体" w:eastAsia="楷体" w:cs="楷体"/>
          <w:sz w:val="28"/>
          <w:szCs w:val="28"/>
          <w:lang w:val="en-US" w:eastAsia="zh-CN"/>
        </w:rPr>
        <w:t>（图示为营业部投资者教育专项宣传活动）</w:t>
      </w:r>
    </w:p>
    <w:p>
      <w:pPr>
        <w:pStyle w:val="2"/>
        <w:rPr>
          <w:rFonts w:hint="eastAsia"/>
          <w:lang w:val="en-US" w:eastAsia="zh-CN"/>
        </w:rPr>
      </w:pPr>
    </w:p>
    <w:p>
      <w:pPr>
        <w:numPr>
          <w:ilvl w:val="0"/>
          <w:numId w:val="1"/>
        </w:numPr>
        <w:ind w:firstLine="320" w:firstLineChars="100"/>
        <w:outlineLvl w:val="2"/>
        <w:rPr>
          <w:rFonts w:hint="eastAsia" w:ascii="仿宋_GB2312" w:hAnsi="Times New Roman" w:eastAsia="仿宋_GB2312" w:cs="Times New Roman"/>
          <w:sz w:val="32"/>
          <w:szCs w:val="32"/>
          <w:lang w:val="en-US" w:eastAsia="zh-CN"/>
        </w:rPr>
      </w:pPr>
      <w:bookmarkStart w:id="52" w:name="_Toc21163"/>
      <w:bookmarkStart w:id="53" w:name="_Toc12440"/>
      <w:r>
        <w:rPr>
          <w:rFonts w:hint="eastAsia" w:ascii="仿宋_GB2312" w:hAnsi="Times New Roman" w:eastAsia="仿宋_GB2312" w:cs="Times New Roman"/>
          <w:sz w:val="32"/>
          <w:szCs w:val="32"/>
          <w:lang w:val="en-US" w:eastAsia="zh-CN"/>
        </w:rPr>
        <w:t>促进社会经济发展</w:t>
      </w:r>
      <w:bookmarkEnd w:id="52"/>
    </w:p>
    <w:p>
      <w:pPr>
        <w:keepNext w:val="0"/>
        <w:keepLines w:val="0"/>
        <w:pageBreakBefore w:val="0"/>
        <w:widowControl w:val="0"/>
        <w:numPr>
          <w:ilvl w:val="0"/>
          <w:numId w:val="0"/>
        </w:numPr>
        <w:kinsoku/>
        <w:wordWrap/>
        <w:overflowPunct/>
        <w:topLinePunct w:val="0"/>
        <w:autoSpaceDE/>
        <w:autoSpaceDN/>
        <w:bidi w:val="0"/>
        <w:adjustRightInd/>
        <w:snapToGrid/>
        <w:ind w:leftChars="10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营业部从自身业务结构特点出发，积极开展业务，走进上市公司，通过提供的保荐承销、企业购并、财务顾问、资本中介、资产管理和基金管理等专业化金融服务，成功推动了企业上市融资、改善企业治理结构、促进企业快速发展，推动中国资本跨境流动、促进我国资本市场健康稳定发展。</w:t>
      </w:r>
    </w:p>
    <w:p>
      <w:pPr>
        <w:keepNext w:val="0"/>
        <w:keepLines w:val="0"/>
        <w:pageBreakBefore w:val="0"/>
        <w:widowControl w:val="0"/>
        <w:numPr>
          <w:ilvl w:val="0"/>
          <w:numId w:val="0"/>
        </w:numPr>
        <w:kinsoku/>
        <w:wordWrap/>
        <w:overflowPunct/>
        <w:topLinePunct w:val="0"/>
        <w:autoSpaceDE/>
        <w:autoSpaceDN/>
        <w:bidi w:val="0"/>
        <w:adjustRightInd/>
        <w:snapToGrid/>
        <w:ind w:leftChars="10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2024年营业部与芜湖市政府、金融局、各区政府沟通交流合作融洽，走进多家企业进行联动，并取得很好的信任关系，共同为芜湖经济发展奉献一份力量。</w:t>
      </w:r>
      <w:bookmarkEnd w:id="53"/>
    </w:p>
    <w:p>
      <w:pPr>
        <w:pStyle w:val="2"/>
        <w:rPr>
          <w:rFonts w:hint="eastAsia"/>
          <w:lang w:val="en-US" w:eastAsia="zh-CN"/>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4" w:hRule="atLeast"/>
        </w:trPr>
        <w:tc>
          <w:tcPr>
            <w:tcW w:w="8522" w:type="dxa"/>
            <w:noWrap w:val="0"/>
            <w:vAlign w:val="top"/>
          </w:tcPr>
          <w:p>
            <w:pPr>
              <w:jc w:val="center"/>
              <w:outlineLvl w:val="9"/>
              <w:rPr>
                <w:rFonts w:hint="eastAsia" w:eastAsia="宋体"/>
                <w:b/>
                <w:sz w:val="32"/>
                <w:szCs w:val="32"/>
                <w:vertAlign w:val="baseline"/>
                <w:lang w:eastAsia="zh-CN"/>
              </w:rPr>
            </w:pPr>
            <w:r>
              <w:rPr>
                <w:rFonts w:hint="eastAsia" w:eastAsia="宋体"/>
                <w:b/>
                <w:sz w:val="32"/>
                <w:szCs w:val="32"/>
                <w:vertAlign w:val="baseline"/>
                <w:lang w:eastAsia="zh-CN"/>
              </w:rPr>
              <w:drawing>
                <wp:inline distT="0" distB="0" distL="114300" distR="114300">
                  <wp:extent cx="2537460" cy="3014345"/>
                  <wp:effectExtent l="0" t="0" r="15240" b="14605"/>
                  <wp:docPr id="6" name="图片 78" descr="8e506dbb4f9beb07e6d78c309127f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8" descr="8e506dbb4f9beb07e6d78c309127f15"/>
                          <pic:cNvPicPr>
                            <a:picLocks noChangeAspect="1"/>
                          </pic:cNvPicPr>
                        </pic:nvPicPr>
                        <pic:blipFill>
                          <a:blip r:embed="rId13"/>
                          <a:stretch>
                            <a:fillRect/>
                          </a:stretch>
                        </pic:blipFill>
                        <pic:spPr>
                          <a:xfrm>
                            <a:off x="0" y="0"/>
                            <a:ext cx="2537460" cy="3014345"/>
                          </a:xfrm>
                          <a:prstGeom prst="rect">
                            <a:avLst/>
                          </a:prstGeom>
                          <a:noFill/>
                          <a:ln>
                            <a:noFill/>
                          </a:ln>
                        </pic:spPr>
                      </pic:pic>
                    </a:graphicData>
                  </a:graphic>
                </wp:inline>
              </w:drawing>
            </w:r>
            <w:r>
              <w:rPr>
                <w:rFonts w:hint="eastAsia"/>
                <w:b/>
                <w:sz w:val="32"/>
                <w:szCs w:val="32"/>
                <w:vertAlign w:val="baseline"/>
                <w:lang w:val="en-US" w:eastAsia="zh-CN"/>
              </w:rPr>
              <w:t xml:space="preserve"> </w:t>
            </w:r>
            <w:r>
              <w:rPr>
                <w:rFonts w:hint="eastAsia" w:eastAsia="宋体"/>
                <w:b/>
                <w:sz w:val="32"/>
                <w:szCs w:val="32"/>
                <w:vertAlign w:val="baseline"/>
                <w:lang w:eastAsia="zh-CN"/>
              </w:rPr>
              <w:drawing>
                <wp:inline distT="0" distB="0" distL="114300" distR="114300">
                  <wp:extent cx="2557145" cy="2971800"/>
                  <wp:effectExtent l="0" t="0" r="14605" b="0"/>
                  <wp:docPr id="7" name="图片 77" descr="857ca74baad5e64a4a147925173ba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7" descr="857ca74baad5e64a4a147925173baed"/>
                          <pic:cNvPicPr>
                            <a:picLocks noChangeAspect="1"/>
                          </pic:cNvPicPr>
                        </pic:nvPicPr>
                        <pic:blipFill>
                          <a:blip r:embed="rId14"/>
                          <a:stretch>
                            <a:fillRect/>
                          </a:stretch>
                        </pic:blipFill>
                        <pic:spPr>
                          <a:xfrm>
                            <a:off x="0" y="0"/>
                            <a:ext cx="2557145" cy="2971800"/>
                          </a:xfrm>
                          <a:prstGeom prst="rect">
                            <a:avLst/>
                          </a:prstGeom>
                          <a:noFill/>
                          <a:ln>
                            <a:noFill/>
                          </a:ln>
                        </pic:spPr>
                      </pic:pic>
                    </a:graphicData>
                  </a:graphic>
                </wp:inline>
              </w:drawing>
            </w:r>
          </w:p>
        </w:tc>
      </w:tr>
    </w:tbl>
    <w:p>
      <w:pPr>
        <w:jc w:val="center"/>
        <w:outlineLvl w:val="9"/>
        <w:rPr>
          <w:rFonts w:hint="eastAsia" w:ascii="仿宋_GB2312" w:eastAsia="仿宋_GB2312"/>
          <w:color w:val="auto"/>
          <w:kern w:val="2"/>
          <w:sz w:val="32"/>
          <w:szCs w:val="32"/>
          <w:lang w:val="en-US" w:eastAsia="zh-CN" w:bidi="ar-SA"/>
        </w:rPr>
      </w:pPr>
      <w:bookmarkStart w:id="54" w:name="_Toc28737"/>
      <w:bookmarkStart w:id="55" w:name="_Toc30255"/>
      <w:bookmarkStart w:id="56" w:name="_Toc24068"/>
      <w:r>
        <w:rPr>
          <w:rFonts w:hint="eastAsia" w:ascii="楷体" w:hAnsi="楷体" w:eastAsia="楷体" w:cs="楷体"/>
          <w:sz w:val="28"/>
          <w:szCs w:val="28"/>
          <w:lang w:val="en-US" w:eastAsia="zh-CN"/>
        </w:rPr>
        <w:t>（图示为员工代表走进上市公司及合作单位活动）</w:t>
      </w:r>
    </w:p>
    <w:p>
      <w:pPr>
        <w:outlineLvl w:val="0"/>
        <w:rPr>
          <w:rFonts w:hint="eastAsia"/>
          <w:b/>
          <w:sz w:val="32"/>
          <w:szCs w:val="32"/>
        </w:rPr>
      </w:pPr>
      <w:bookmarkStart w:id="57" w:name="_Toc9130"/>
      <w:bookmarkStart w:id="58" w:name="_Toc7866"/>
      <w:bookmarkStart w:id="59" w:name="_Toc23767"/>
      <w:r>
        <w:rPr>
          <w:rFonts w:hint="eastAsia"/>
          <w:b/>
          <w:sz w:val="32"/>
          <w:szCs w:val="32"/>
        </w:rPr>
        <w:t>二、环保责任</w:t>
      </w:r>
      <w:bookmarkEnd w:id="54"/>
      <w:bookmarkEnd w:id="55"/>
      <w:bookmarkEnd w:id="56"/>
      <w:bookmarkEnd w:id="57"/>
      <w:bookmarkEnd w:id="58"/>
      <w:bookmarkEnd w:id="59"/>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营业部环保宣传教育氛围良好。突出环保宣传的警示性。把环保宣传工作与营业部经营、群众生活等结合起来，通过活动举办，发挥宣传警示作用，使环境宣传成为推进环境保护工作的助力器；突出环保宣传的针对性。引导全员以实际行动关心环境、珍惜环境和保护环境，努力营造齐抓共管的良好氛围；突出环保宣传的政策性。积极探索代价小、效益好、排放低、可持续的环保引向深入。2024年营业部无环保违规负面信息。</w:t>
      </w:r>
    </w:p>
    <w:p>
      <w:pPr>
        <w:pStyle w:val="2"/>
        <w:keepNext w:val="0"/>
        <w:keepLines w:val="0"/>
        <w:pageBreakBefore w:val="0"/>
        <w:widowControl w:val="0"/>
        <w:kinsoku/>
        <w:wordWrap/>
        <w:overflowPunct/>
        <w:topLinePunct w:val="0"/>
        <w:autoSpaceDE/>
        <w:autoSpaceDN/>
        <w:bidi w:val="0"/>
        <w:adjustRightInd/>
        <w:snapToGrid/>
        <w:spacing w:line="240" w:lineRule="exact"/>
        <w:ind w:left="1123"/>
        <w:textAlignment w:val="auto"/>
        <w:rPr>
          <w:rFonts w:hint="eastAsia"/>
          <w:lang w:val="en-US" w:eastAsia="zh-CN"/>
        </w:rPr>
      </w:pPr>
    </w:p>
    <w:p>
      <w:pPr>
        <w:numPr>
          <w:ilvl w:val="0"/>
          <w:numId w:val="0"/>
        </w:numPr>
        <w:spacing w:line="240" w:lineRule="atLeast"/>
        <w:outlineLvl w:val="0"/>
        <w:rPr>
          <w:rFonts w:hint="eastAsia" w:ascii="黑体" w:eastAsia="黑体"/>
          <w:sz w:val="32"/>
          <w:szCs w:val="32"/>
          <w:lang w:eastAsia="zh-CN"/>
        </w:rPr>
      </w:pPr>
      <w:bookmarkStart w:id="60" w:name="_Toc30631"/>
      <w:bookmarkStart w:id="61" w:name="_Toc31037"/>
      <w:bookmarkStart w:id="62" w:name="_Toc13808"/>
      <w:bookmarkStart w:id="63" w:name="_Toc9744"/>
      <w:bookmarkStart w:id="64" w:name="_Toc6562"/>
      <w:bookmarkStart w:id="65" w:name="_Toc30295"/>
    </w:p>
    <w:p>
      <w:pPr>
        <w:numPr>
          <w:ilvl w:val="0"/>
          <w:numId w:val="0"/>
        </w:numPr>
        <w:spacing w:line="240" w:lineRule="atLeast"/>
        <w:outlineLvl w:val="0"/>
        <w:rPr>
          <w:rFonts w:hint="eastAsia" w:ascii="黑体" w:eastAsia="黑体"/>
          <w:sz w:val="32"/>
          <w:szCs w:val="32"/>
          <w:lang w:eastAsia="zh-CN"/>
        </w:rPr>
      </w:pPr>
    </w:p>
    <w:p>
      <w:pPr>
        <w:numPr>
          <w:ilvl w:val="0"/>
          <w:numId w:val="0"/>
        </w:numPr>
        <w:spacing w:line="240" w:lineRule="atLeast"/>
        <w:outlineLvl w:val="0"/>
        <w:rPr>
          <w:rFonts w:hint="eastAsia" w:ascii="黑体" w:eastAsia="黑体"/>
          <w:sz w:val="32"/>
          <w:szCs w:val="32"/>
          <w:lang w:eastAsia="zh-CN"/>
        </w:rPr>
      </w:pPr>
    </w:p>
    <w:p>
      <w:pPr>
        <w:numPr>
          <w:ilvl w:val="0"/>
          <w:numId w:val="0"/>
        </w:numPr>
        <w:spacing w:line="240" w:lineRule="atLeast"/>
        <w:outlineLvl w:val="0"/>
        <w:rPr>
          <w:rFonts w:hint="eastAsia" w:ascii="黑体" w:eastAsia="黑体"/>
          <w:sz w:val="32"/>
          <w:szCs w:val="32"/>
        </w:rPr>
      </w:pPr>
      <w:r>
        <w:rPr>
          <w:rFonts w:hint="eastAsia" w:ascii="黑体" w:eastAsia="黑体"/>
          <w:sz w:val="32"/>
          <w:szCs w:val="32"/>
          <w:lang w:eastAsia="zh-CN"/>
        </w:rPr>
        <w:t>三</w:t>
      </w:r>
      <w:r>
        <w:rPr>
          <w:rFonts w:hint="eastAsia" w:ascii="黑体" w:eastAsia="黑体"/>
          <w:sz w:val="32"/>
          <w:szCs w:val="32"/>
        </w:rPr>
        <w:t>、</w:t>
      </w:r>
      <w:r>
        <w:rPr>
          <w:rFonts w:hint="eastAsia" w:ascii="黑体" w:hAnsi="Times New Roman" w:eastAsia="黑体" w:cs="Times New Roman"/>
          <w:sz w:val="32"/>
          <w:szCs w:val="32"/>
          <w:lang w:val="en-US" w:eastAsia="zh-CN"/>
        </w:rPr>
        <w:t>员工</w:t>
      </w:r>
      <w:r>
        <w:rPr>
          <w:rFonts w:hint="eastAsia" w:ascii="黑体" w:eastAsia="黑体"/>
          <w:sz w:val="32"/>
          <w:szCs w:val="32"/>
        </w:rPr>
        <w:t>保障责任</w:t>
      </w:r>
      <w:bookmarkEnd w:id="60"/>
      <w:bookmarkEnd w:id="61"/>
      <w:bookmarkEnd w:id="62"/>
      <w:bookmarkEnd w:id="63"/>
      <w:bookmarkEnd w:id="64"/>
      <w:bookmarkEnd w:id="65"/>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1"/>
        <w:rPr>
          <w:rStyle w:val="23"/>
          <w:rFonts w:hint="eastAsia" w:ascii="楷体" w:hAnsi="楷体" w:eastAsia="楷体" w:cs="楷体"/>
          <w:b w:val="0"/>
          <w:bCs/>
          <w:lang w:val="en-US" w:eastAsia="zh-CN"/>
        </w:rPr>
      </w:pPr>
      <w:bookmarkStart w:id="66" w:name="_Toc8317"/>
      <w:bookmarkStart w:id="67" w:name="_Toc14822"/>
      <w:bookmarkStart w:id="68" w:name="_Toc25072"/>
      <w:r>
        <w:rPr>
          <w:rStyle w:val="23"/>
          <w:rFonts w:hint="eastAsia" w:ascii="楷体" w:hAnsi="楷体" w:eastAsia="楷体" w:cs="楷体"/>
          <w:b w:val="0"/>
          <w:bCs/>
          <w:lang w:val="en-US" w:eastAsia="zh-CN"/>
        </w:rPr>
        <w:t>（一）员工概况 </w:t>
      </w:r>
      <w:bookmarkEnd w:id="66"/>
      <w:bookmarkEnd w:id="67"/>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截至2024年12月31日，营业部共有员工17人（含经纪人）。劳动合同签订率为100%，社会保险购买率为100%；营业部高度重视校园招聘工作，并开展了一系列实习生培养计划，为广大优秀毕业生、在读生提供工作、实习机会。</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1"/>
        <w:rPr>
          <w:rStyle w:val="23"/>
          <w:rFonts w:hint="eastAsia" w:ascii="楷体" w:hAnsi="楷体" w:eastAsia="楷体" w:cs="楷体"/>
          <w:b w:val="0"/>
          <w:bCs/>
          <w:lang w:val="en-US" w:eastAsia="zh-CN"/>
        </w:rPr>
      </w:pPr>
      <w:bookmarkStart w:id="69" w:name="_Toc31667"/>
      <w:bookmarkStart w:id="70" w:name="_Toc28115"/>
      <w:r>
        <w:rPr>
          <w:rStyle w:val="23"/>
          <w:rFonts w:hint="eastAsia" w:ascii="楷体" w:hAnsi="楷体" w:eastAsia="楷体" w:cs="楷体"/>
          <w:b w:val="0"/>
          <w:bCs/>
          <w:lang w:val="en-US" w:eastAsia="zh-CN"/>
        </w:rPr>
        <w:t>（二）员工薪酬福利与职业发展概况 </w:t>
      </w:r>
      <w:bookmarkEnd w:id="69"/>
      <w:bookmarkEnd w:id="70"/>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营业部员工薪酬由基本工资、业绩提成、特殊奖励和保险福利构成。基本工资是员工年度基本收入，基本工资的确定是通过员工的岗位职级工资标准套定得到，岗位职级工资</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标准主要根据工作职责、承担责任、重要性、经营规模、同业水平等因素综合确定。另外，营业部高度重视员工职业发展，通过不断完善营业部激励体系为员工提供上升通道；同</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时，定期或不定期举办各类培训，为员工提供多元化的职业发展平台。 </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1"/>
        <w:rPr>
          <w:rStyle w:val="23"/>
          <w:rFonts w:hint="eastAsia" w:ascii="楷体" w:hAnsi="楷体" w:eastAsia="楷体" w:cs="楷体"/>
          <w:b w:val="0"/>
          <w:bCs/>
          <w:lang w:val="en-US" w:eastAsia="zh-CN"/>
        </w:rPr>
      </w:pPr>
      <w:bookmarkStart w:id="71" w:name="_Toc21312"/>
      <w:bookmarkStart w:id="72" w:name="_Toc4893"/>
      <w:r>
        <w:rPr>
          <w:rStyle w:val="23"/>
          <w:rFonts w:hint="eastAsia" w:ascii="楷体" w:hAnsi="楷体" w:eastAsia="楷体" w:cs="楷体"/>
          <w:b w:val="0"/>
          <w:bCs/>
          <w:lang w:val="en-US" w:eastAsia="zh-CN"/>
        </w:rPr>
        <w:t>（三）组织丰富的文体活动 </w:t>
      </w:r>
      <w:bookmarkEnd w:id="71"/>
      <w:bookmarkEnd w:id="72"/>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仿宋_GB2312" w:eastAsia="仿宋_GB2312"/>
          <w:sz w:val="32"/>
          <w:szCs w:val="32"/>
          <w:vertAlign w:val="baseline"/>
          <w:lang w:val="en-US" w:eastAsia="zh-CN"/>
        </w:rPr>
      </w:pPr>
      <w:r>
        <w:rPr>
          <w:rFonts w:hint="eastAsia" w:ascii="仿宋_GB2312" w:eastAsia="仿宋_GB2312"/>
          <w:sz w:val="32"/>
          <w:szCs w:val="32"/>
          <w:lang w:val="en-US" w:eastAsia="zh-CN"/>
        </w:rPr>
        <w:t xml:space="preserve">     2024年，营业部工会开展了丰富多彩的文体活动。截至2024年底，已成功举办多期户外宣传活动，参加人数达几百人，得到很好的宣传作用。自2010年起，营业部将扶贫帮困融入徒步走系列活动，该活动已经成为中泰证券展示风貌、团结员工、强身健体、磨练意志的一个品牌活动。营业部各类文体俱乐部在帮助员工发展兴趣、增进各部门交流等方面发挥着独特作用。</w:t>
      </w:r>
      <w:bookmarkEnd w:id="68"/>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7" w:hRule="atLeast"/>
        </w:trPr>
        <w:tc>
          <w:tcPr>
            <w:tcW w:w="8522" w:type="dxa"/>
            <w:noWrap w:val="0"/>
            <w:vAlign w:val="top"/>
          </w:tcPr>
          <w:p>
            <w:pPr>
              <w:jc w:val="left"/>
              <w:rPr>
                <w:rFonts w:hint="eastAsia"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drawing>
                <wp:inline distT="0" distB="0" distL="114300" distR="114300">
                  <wp:extent cx="5273040" cy="4070350"/>
                  <wp:effectExtent l="0" t="0" r="3810" b="6350"/>
                  <wp:docPr id="8" name="图片 72" descr="f45f7ffb2acfd0327e51d88d5d9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2" descr="f45f7ffb2acfd0327e51d88d5d94780"/>
                          <pic:cNvPicPr>
                            <a:picLocks noChangeAspect="1"/>
                          </pic:cNvPicPr>
                        </pic:nvPicPr>
                        <pic:blipFill>
                          <a:blip r:embed="rId15"/>
                          <a:stretch>
                            <a:fillRect/>
                          </a:stretch>
                        </pic:blipFill>
                        <pic:spPr>
                          <a:xfrm>
                            <a:off x="0" y="0"/>
                            <a:ext cx="5273040" cy="4070350"/>
                          </a:xfrm>
                          <a:prstGeom prst="rect">
                            <a:avLst/>
                          </a:prstGeom>
                          <a:noFill/>
                          <a:ln>
                            <a:noFill/>
                          </a:ln>
                        </pic:spPr>
                      </pic:pic>
                    </a:graphicData>
                  </a:graphic>
                </wp:inline>
              </w:drawing>
            </w:r>
          </w:p>
        </w:tc>
      </w:tr>
    </w:tbl>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Style w:val="23"/>
          <w:rFonts w:hint="eastAsia" w:ascii="楷体" w:hAnsi="楷体" w:eastAsia="楷体" w:cs="楷体"/>
          <w:b w:val="0"/>
          <w:bCs/>
          <w:lang w:val="en-US" w:eastAsia="zh-CN"/>
        </w:rPr>
      </w:pPr>
      <w:bookmarkStart w:id="73" w:name="_Toc13982"/>
      <w:bookmarkStart w:id="74" w:name="_Toc4895"/>
      <w:bookmarkStart w:id="75" w:name="_Toc801"/>
      <w:r>
        <w:rPr>
          <w:rFonts w:hint="eastAsia" w:ascii="楷体" w:hAnsi="楷体" w:eastAsia="楷体" w:cs="楷体"/>
          <w:sz w:val="28"/>
          <w:szCs w:val="28"/>
          <w:lang w:val="en-US" w:eastAsia="zh-CN"/>
        </w:rPr>
        <w:t>（图示为营业部第十届员工健步行及季度反洗钱宣传）</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1"/>
        <w:rPr>
          <w:rStyle w:val="23"/>
          <w:rFonts w:hint="eastAsia" w:ascii="楷体" w:hAnsi="楷体" w:eastAsia="楷体" w:cs="楷体"/>
          <w:b w:val="0"/>
          <w:bCs/>
          <w:lang w:val="en-US" w:eastAsia="zh-CN"/>
        </w:rPr>
      </w:pPr>
      <w:r>
        <w:rPr>
          <w:rStyle w:val="23"/>
          <w:rFonts w:hint="eastAsia" w:ascii="楷体" w:hAnsi="楷体" w:eastAsia="楷体" w:cs="楷体"/>
          <w:b w:val="0"/>
          <w:bCs/>
          <w:lang w:val="en-US" w:eastAsia="zh-CN"/>
        </w:rPr>
        <w:t>（四）关爱员工家庭和生活 </w:t>
      </w:r>
      <w:bookmarkEnd w:id="73"/>
      <w:bookmarkEnd w:id="74"/>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多年来，营业部一直致力于建设和谐的企业文化，以人为本，切实关爱员工家庭和生活，不断增强企业凝聚力和员工归属感。 工会积极引导员工树立积极向上的生活方式和健康观念，组织员工参加全面体检。针对具有广泛性和突出性的员工健康问题，组织各类健康讲座，邀请医疗专家讲授常见病防治、日常保健等相关知识。营业部工会还为员工开设健身房，举办瑜伽课程、健美课程，乒乓球课程等，增强员工身体素质。 </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2024年，营业部经营管理层多次看望病困职工，送去慰问金和物品，总计价值人民币万余元。营业部还建立了“已故员工子女困难补助金”制度。 </w:t>
      </w:r>
      <w:bookmarkEnd w:id="75"/>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在管理模式上，</w:t>
      </w:r>
      <w:r>
        <w:rPr>
          <w:rFonts w:hint="eastAsia" w:ascii="仿宋_GB2312" w:eastAsia="仿宋_GB2312"/>
          <w:color w:val="auto"/>
          <w:sz w:val="32"/>
          <w:szCs w:val="32"/>
          <w:lang w:val="en-US" w:eastAsia="zh-CN"/>
        </w:rPr>
        <w:t>营业部</w:t>
      </w:r>
      <w:r>
        <w:rPr>
          <w:rFonts w:hint="eastAsia" w:ascii="仿宋_GB2312" w:eastAsia="仿宋_GB2312"/>
          <w:sz w:val="32"/>
          <w:szCs w:val="32"/>
          <w:lang w:val="en-US" w:eastAsia="zh-CN"/>
        </w:rPr>
        <w:t>坚持企业方、工会方、职工方平等协商一致，层层签定用工协议书。坚持依法维护职工的合法权益，让广大职工有一个心情舒畅的工作环境，有利于企业的可持续发展。</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在建立公开机制，充分重视职工民主权利，营业部以职代会为载体，将营业部重大问题提交职工代表讨论，职代会通过的的营业部合规经营、管理制度、《员工手册》《集体劳动合同》《工资集体协商制度》通过职代会达成共识，形成共决。每当岁末年初召开年会，营业部将生产经营，经营目标，发展方向及当年开展的主要工作等重大问题都通报职工，形成合力，充分调动企业全体员工的积极性。发挥职工代表大会和工会组织的作用，在涉及职工利益密切相关规章制度出台之前，职代会代表和工会组织从源头上参与，通过召开不同层次的座谈会听取意见，掌握职工的思想动态，并据此对审议的制度进行修改和补充，力争每项制度都符合实情，保证制度出台后能顺利贯彻执行。每项制度出台后，做到规范管理，把民主管理融入制度。</w:t>
      </w:r>
    </w:p>
    <w:p>
      <w:pPr>
        <w:widowControl/>
        <w:wordWrap w:val="0"/>
        <w:spacing w:before="100" w:beforeAutospacing="1" w:after="100" w:afterAutospacing="1" w:line="427" w:lineRule="auto"/>
        <w:jc w:val="left"/>
        <w:outlineLvl w:val="0"/>
        <w:rPr>
          <w:rFonts w:hint="eastAsia" w:ascii="黑体" w:eastAsia="黑体"/>
          <w:sz w:val="32"/>
          <w:szCs w:val="32"/>
          <w:lang w:val="en-US" w:eastAsia="zh-CN"/>
        </w:rPr>
      </w:pPr>
      <w:bookmarkStart w:id="76" w:name="_Toc4400"/>
      <w:bookmarkStart w:id="77" w:name="_Toc22846"/>
      <w:bookmarkStart w:id="78" w:name="_Toc7621"/>
      <w:bookmarkStart w:id="79" w:name="_Toc28826"/>
      <w:bookmarkStart w:id="80" w:name="_Toc435"/>
      <w:bookmarkStart w:id="81" w:name="_Toc27206"/>
      <w:bookmarkStart w:id="106" w:name="_GoBack"/>
      <w:bookmarkEnd w:id="106"/>
    </w:p>
    <w:p>
      <w:pPr>
        <w:widowControl/>
        <w:wordWrap w:val="0"/>
        <w:spacing w:before="100" w:beforeAutospacing="1" w:after="100" w:afterAutospacing="1" w:line="427" w:lineRule="auto"/>
        <w:ind w:firstLine="640" w:firstLineChars="200"/>
        <w:jc w:val="left"/>
        <w:outlineLvl w:val="0"/>
        <w:rPr>
          <w:rFonts w:hint="eastAsia" w:ascii="黑体" w:eastAsia="黑体"/>
          <w:sz w:val="32"/>
          <w:szCs w:val="32"/>
        </w:rPr>
      </w:pPr>
      <w:r>
        <w:rPr>
          <w:rFonts w:hint="eastAsia" w:ascii="黑体" w:eastAsia="黑体"/>
          <w:sz w:val="32"/>
          <w:szCs w:val="32"/>
          <w:lang w:val="en-US" w:eastAsia="zh-CN"/>
        </w:rPr>
        <w:t>四</w:t>
      </w:r>
      <w:r>
        <w:rPr>
          <w:rFonts w:hint="eastAsia" w:ascii="黑体" w:eastAsia="黑体"/>
          <w:sz w:val="32"/>
          <w:szCs w:val="32"/>
        </w:rPr>
        <w:t>、安全责任</w:t>
      </w:r>
      <w:bookmarkEnd w:id="76"/>
      <w:bookmarkEnd w:id="77"/>
      <w:bookmarkEnd w:id="78"/>
      <w:bookmarkEnd w:id="79"/>
      <w:bookmarkEnd w:id="80"/>
      <w:bookmarkEnd w:id="81"/>
    </w:p>
    <w:p>
      <w:pPr>
        <w:ind w:firstLine="640" w:firstLineChars="200"/>
        <w:outlineLvl w:val="1"/>
        <w:rPr>
          <w:rFonts w:hint="eastAsia" w:ascii="楷体" w:hAnsi="楷体" w:eastAsia="楷体" w:cs="楷体"/>
          <w:sz w:val="32"/>
          <w:szCs w:val="32"/>
          <w:lang w:val="en-US" w:eastAsia="zh-CN"/>
        </w:rPr>
      </w:pPr>
      <w:bookmarkStart w:id="82" w:name="_Toc25688"/>
      <w:bookmarkStart w:id="83" w:name="_Toc2895"/>
      <w:bookmarkStart w:id="84" w:name="_Toc8577"/>
      <w:bookmarkStart w:id="85" w:name="_Toc11840"/>
      <w:bookmarkStart w:id="86" w:name="_Toc4096"/>
      <w:bookmarkStart w:id="87" w:name="_Toc26774"/>
      <w:r>
        <w:rPr>
          <w:rFonts w:hint="eastAsia" w:ascii="楷体" w:hAnsi="楷体" w:eastAsia="楷体" w:cs="楷体"/>
          <w:sz w:val="32"/>
          <w:szCs w:val="32"/>
          <w:lang w:val="en-US" w:eastAsia="zh-CN"/>
        </w:rPr>
        <w:t>（一）金融安全责任制的制度制定与执行情况</w:t>
      </w:r>
      <w:bookmarkEnd w:id="82"/>
      <w:bookmarkEnd w:id="83"/>
      <w:bookmarkEnd w:id="84"/>
      <w:bookmarkEnd w:id="85"/>
      <w:bookmarkEnd w:id="86"/>
      <w:bookmarkEnd w:id="87"/>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营业部实行集中交易，由总部统一集中管理；提供现场、非现场等多种交易方式；客户资金实行第三方银行存管，保证客户资金安全。</w:t>
      </w:r>
      <w:r>
        <w:rPr>
          <w:rFonts w:hint="eastAsia" w:ascii="仿宋_GB2312" w:eastAsia="仿宋_GB2312"/>
          <w:sz w:val="32"/>
          <w:szCs w:val="32"/>
          <w:lang w:val="en-US" w:eastAsia="zh-CN"/>
        </w:rPr>
        <w:t>营业部加强金融安全管理责任，进一步明确岗位责任，履行岗位职责，要求每一位员工做好自己的事，做到预防有措施。</w:t>
      </w:r>
    </w:p>
    <w:p>
      <w:pPr>
        <w:ind w:firstLine="640" w:firstLineChars="200"/>
        <w:outlineLvl w:val="1"/>
        <w:rPr>
          <w:rFonts w:hint="eastAsia" w:ascii="楷体" w:hAnsi="楷体" w:eastAsia="楷体" w:cs="楷体"/>
          <w:sz w:val="32"/>
          <w:szCs w:val="32"/>
          <w:lang w:val="en-US" w:eastAsia="zh-CN"/>
        </w:rPr>
      </w:pPr>
      <w:bookmarkStart w:id="88" w:name="_Toc3031"/>
      <w:bookmarkStart w:id="89" w:name="_Toc24278"/>
      <w:bookmarkStart w:id="90" w:name="_Toc25891"/>
      <w:bookmarkStart w:id="91" w:name="_Toc956"/>
      <w:bookmarkStart w:id="92" w:name="_Toc16176"/>
      <w:bookmarkStart w:id="93" w:name="_Toc28656"/>
      <w:r>
        <w:rPr>
          <w:rFonts w:hint="eastAsia" w:ascii="楷体" w:hAnsi="楷体" w:eastAsia="楷体" w:cs="楷体"/>
          <w:sz w:val="32"/>
          <w:szCs w:val="32"/>
          <w:lang w:val="en-US" w:eastAsia="zh-CN"/>
        </w:rPr>
        <w:t>（二）工作环境安全应急预案制定与执行情况</w:t>
      </w:r>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营业部适应法律和经营活动的要求，为员工提供安全的工作环境、为和客户提供更好更安全的投资环境，保证各种应急反应资源处于良好的备战状态，指导应急反应行动按计划有序地进行，防止因应急反应行动组织不力或现场救援工作的无序和混乱而延误事故的应急救援，有效地避免或降低人员伤亡和财产损失，实现应急反应行动的快速、有序、高效，充分体现应急救援的“应急精神”。</w:t>
      </w:r>
    </w:p>
    <w:p>
      <w:pPr>
        <w:numPr>
          <w:ilvl w:val="0"/>
          <w:numId w:val="0"/>
        </w:numPr>
        <w:ind w:firstLine="640" w:firstLineChars="200"/>
        <w:rPr>
          <w:rStyle w:val="29"/>
          <w:rFonts w:hint="default" w:ascii="宋体" w:hAnsi="宋体"/>
          <w:color w:val="000000"/>
          <w:sz w:val="32"/>
          <w:szCs w:val="32"/>
          <w:vertAlign w:val="baseline"/>
          <w:lang w:val="en-US"/>
        </w:rPr>
      </w:pPr>
      <w:r>
        <w:rPr>
          <w:rFonts w:hint="eastAsia" w:ascii="仿宋_GB2312" w:eastAsia="仿宋_GB2312"/>
          <w:sz w:val="32"/>
          <w:szCs w:val="32"/>
          <w:lang w:val="en-US" w:eastAsia="zh-CN"/>
        </w:rPr>
        <w:t>同时，营业部还定期开展安全消防知识讲座及消防演练，将消防工作落到实处。</w:t>
      </w:r>
    </w:p>
    <w:p>
      <w:pPr>
        <w:pStyle w:val="2"/>
        <w:rPr>
          <w:rFonts w:hint="eastAsia"/>
          <w:lang w:val="en-US" w:eastAsia="zh-CN"/>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8" w:hRule="atLeast"/>
        </w:trPr>
        <w:tc>
          <w:tcPr>
            <w:tcW w:w="8440" w:type="dxa"/>
            <w:noWrap w:val="0"/>
            <w:vAlign w:val="top"/>
          </w:tcPr>
          <w:p>
            <w:pPr>
              <w:numPr>
                <w:ilvl w:val="0"/>
                <w:numId w:val="0"/>
              </w:numPr>
              <w:rPr>
                <w:rStyle w:val="29"/>
                <w:rFonts w:hint="eastAsia" w:ascii="宋体" w:hAnsi="宋体" w:eastAsia="宋体"/>
                <w:color w:val="000000"/>
                <w:sz w:val="32"/>
                <w:szCs w:val="32"/>
                <w:vertAlign w:val="baseline"/>
                <w:lang w:val="en-US" w:eastAsia="zh-CN"/>
              </w:rPr>
            </w:pPr>
            <w:r>
              <w:rPr>
                <w:rStyle w:val="29"/>
                <w:rFonts w:hint="eastAsia" w:ascii="宋体" w:hAnsi="宋体" w:eastAsia="宋体"/>
                <w:color w:val="000000"/>
                <w:sz w:val="32"/>
                <w:szCs w:val="32"/>
                <w:vertAlign w:val="baseline"/>
                <w:lang w:val="en-US" w:eastAsia="zh-CN"/>
              </w:rPr>
              <w:drawing>
                <wp:inline distT="0" distB="0" distL="114300" distR="114300">
                  <wp:extent cx="5274310" cy="3211195"/>
                  <wp:effectExtent l="0" t="0" r="2540" b="8255"/>
                  <wp:docPr id="9" name="图片 82" descr="f61b04833924d5d0c6503549727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2" descr="f61b04833924d5d0c65035497271961"/>
                          <pic:cNvPicPr>
                            <a:picLocks noChangeAspect="1"/>
                          </pic:cNvPicPr>
                        </pic:nvPicPr>
                        <pic:blipFill>
                          <a:blip r:embed="rId16"/>
                          <a:stretch>
                            <a:fillRect/>
                          </a:stretch>
                        </pic:blipFill>
                        <pic:spPr>
                          <a:xfrm>
                            <a:off x="0" y="0"/>
                            <a:ext cx="5274310" cy="321119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1" w:hRule="atLeast"/>
        </w:trPr>
        <w:tc>
          <w:tcPr>
            <w:tcW w:w="8440" w:type="dxa"/>
            <w:noWrap w:val="0"/>
            <w:vAlign w:val="top"/>
          </w:tcPr>
          <w:p>
            <w:pPr>
              <w:numPr>
                <w:ilvl w:val="0"/>
                <w:numId w:val="0"/>
              </w:numPr>
              <w:rPr>
                <w:rStyle w:val="29"/>
                <w:rFonts w:hint="eastAsia" w:ascii="宋体" w:hAnsi="宋体" w:eastAsia="宋体"/>
                <w:color w:val="000000"/>
                <w:sz w:val="32"/>
                <w:szCs w:val="32"/>
                <w:vertAlign w:val="baseline"/>
                <w:lang w:val="en-US" w:eastAsia="zh-CN"/>
              </w:rPr>
            </w:pPr>
            <w:r>
              <w:rPr>
                <w:rStyle w:val="29"/>
                <w:rFonts w:hint="eastAsia" w:ascii="宋体" w:hAnsi="宋体" w:eastAsia="宋体"/>
                <w:color w:val="000000"/>
                <w:sz w:val="32"/>
                <w:szCs w:val="32"/>
                <w:vertAlign w:val="baseline"/>
                <w:lang w:val="en-US" w:eastAsia="zh-CN"/>
              </w:rPr>
              <w:drawing>
                <wp:inline distT="0" distB="0" distL="114300" distR="114300">
                  <wp:extent cx="5273675" cy="2709545"/>
                  <wp:effectExtent l="0" t="0" r="14605" b="3175"/>
                  <wp:docPr id="10" name="图片 83" descr="f453ddf18b5cb3541c903e76e7ae3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3" descr="f453ddf18b5cb3541c903e76e7ae3a5"/>
                          <pic:cNvPicPr>
                            <a:picLocks noChangeAspect="1"/>
                          </pic:cNvPicPr>
                        </pic:nvPicPr>
                        <pic:blipFill>
                          <a:blip r:embed="rId17"/>
                          <a:stretch>
                            <a:fillRect/>
                          </a:stretch>
                        </pic:blipFill>
                        <pic:spPr>
                          <a:xfrm>
                            <a:off x="0" y="0"/>
                            <a:ext cx="5273675" cy="2709545"/>
                          </a:xfrm>
                          <a:prstGeom prst="rect">
                            <a:avLst/>
                          </a:prstGeom>
                          <a:noFill/>
                          <a:ln>
                            <a:noFill/>
                          </a:ln>
                        </pic:spPr>
                      </pic:pic>
                    </a:graphicData>
                  </a:graphic>
                </wp:inline>
              </w:drawing>
            </w:r>
          </w:p>
        </w:tc>
      </w:tr>
    </w:tbl>
    <w:p>
      <w:pPr>
        <w:jc w:val="center"/>
        <w:rPr>
          <w:rFonts w:hint="eastAsia" w:ascii="黑体" w:eastAsia="黑体"/>
          <w:sz w:val="32"/>
          <w:szCs w:val="32"/>
          <w:lang w:val="en-US" w:eastAsia="zh-CN"/>
        </w:rPr>
      </w:pPr>
      <w:r>
        <w:rPr>
          <w:rFonts w:hint="eastAsia" w:ascii="楷体" w:hAnsi="楷体" w:eastAsia="楷体" w:cs="楷体"/>
          <w:sz w:val="28"/>
          <w:szCs w:val="28"/>
          <w:lang w:val="en-US" w:eastAsia="zh-CN"/>
        </w:rPr>
        <w:t>（图示为营业部2024年度消防应急培训及演练）</w:t>
      </w:r>
    </w:p>
    <w:p>
      <w:pPr>
        <w:ind w:firstLine="640" w:firstLineChars="200"/>
        <w:outlineLvl w:val="0"/>
        <w:rPr>
          <w:rFonts w:hint="eastAsia" w:ascii="仿宋_GB2312" w:eastAsia="仿宋_GB2312"/>
          <w:sz w:val="32"/>
          <w:szCs w:val="32"/>
          <w:lang w:val="en-US" w:eastAsia="zh-CN"/>
        </w:rPr>
      </w:pPr>
      <w:bookmarkStart w:id="94" w:name="_Toc28590"/>
      <w:bookmarkStart w:id="95" w:name="_Toc18045"/>
      <w:bookmarkStart w:id="96" w:name="_Toc13837"/>
      <w:bookmarkStart w:id="97" w:name="_Toc25388"/>
      <w:bookmarkStart w:id="98" w:name="_Toc2665"/>
      <w:bookmarkStart w:id="99" w:name="_Toc27500"/>
      <w:r>
        <w:rPr>
          <w:rFonts w:hint="eastAsia" w:ascii="黑体" w:eastAsia="黑体"/>
          <w:sz w:val="32"/>
          <w:szCs w:val="32"/>
          <w:lang w:val="en-US" w:eastAsia="zh-CN"/>
        </w:rPr>
        <w:t>五</w:t>
      </w:r>
      <w:r>
        <w:rPr>
          <w:rFonts w:hint="eastAsia" w:ascii="黑体" w:eastAsia="黑体"/>
          <w:sz w:val="32"/>
          <w:szCs w:val="32"/>
        </w:rPr>
        <w:t>、</w:t>
      </w:r>
      <w:r>
        <w:rPr>
          <w:rFonts w:hint="eastAsia" w:ascii="黑体" w:hAnsi="Times New Roman" w:eastAsia="黑体" w:cs="Times New Roman"/>
          <w:sz w:val="32"/>
          <w:szCs w:val="32"/>
          <w:lang w:val="en-US" w:eastAsia="zh-CN"/>
        </w:rPr>
        <w:t>公益事业参与度</w:t>
      </w:r>
      <w:bookmarkEnd w:id="94"/>
      <w:bookmarkEnd w:id="95"/>
      <w:bookmarkEnd w:id="96"/>
      <w:bookmarkEnd w:id="97"/>
      <w:bookmarkEnd w:id="98"/>
      <w:bookmarkEnd w:id="99"/>
    </w:p>
    <w:p>
      <w:pPr>
        <w:ind w:firstLine="640" w:firstLineChars="200"/>
        <w:jc w:val="left"/>
        <w:rPr>
          <w:rFonts w:hint="default" w:ascii="仿宋_GB2312" w:eastAsia="仿宋_GB2312"/>
          <w:sz w:val="32"/>
          <w:szCs w:val="32"/>
          <w:vertAlign w:val="baseline"/>
          <w:lang w:val="en-US" w:eastAsia="zh-CN"/>
        </w:rPr>
      </w:pPr>
      <w:r>
        <w:rPr>
          <w:rFonts w:hint="eastAsia" w:ascii="仿宋_GB2312" w:eastAsia="仿宋_GB2312"/>
          <w:sz w:val="32"/>
          <w:szCs w:val="32"/>
          <w:lang w:val="en-US" w:eastAsia="zh-CN"/>
        </w:rPr>
        <w:t>社会公益事业是中国优良传统的延续，是构建社会主义和谐社会的内在要求。公益精神是愿意为改善“公域”部分而奉献努力的精神。</w:t>
      </w:r>
      <w:r>
        <w:rPr>
          <w:rFonts w:hint="eastAsia" w:ascii="仿宋_GB2312" w:hAnsi="Times New Roman" w:eastAsia="仿宋_GB2312" w:cs="Times New Roman"/>
          <w:sz w:val="32"/>
          <w:szCs w:val="32"/>
          <w:lang w:val="en-US" w:eastAsia="zh-CN"/>
        </w:rPr>
        <w:t>营业部通过</w:t>
      </w:r>
      <w:r>
        <w:rPr>
          <w:rFonts w:hint="eastAsia" w:ascii="仿宋_GB2312" w:eastAsia="仿宋_GB2312" w:cs="Times New Roman"/>
          <w:sz w:val="32"/>
          <w:szCs w:val="32"/>
          <w:lang w:val="en-US" w:eastAsia="zh-CN"/>
        </w:rPr>
        <w:t>积极参与</w:t>
      </w:r>
      <w:r>
        <w:rPr>
          <w:rFonts w:hint="eastAsia" w:ascii="仿宋_GB2312" w:hAnsi="Times New Roman" w:eastAsia="仿宋_GB2312" w:cs="Times New Roman"/>
          <w:sz w:val="32"/>
          <w:szCs w:val="32"/>
          <w:lang w:val="en-US" w:eastAsia="zh-CN"/>
        </w:rPr>
        <w:t>公益事业塑造企业外部形象，进一步推动企业的发展。</w:t>
      </w:r>
      <w:r>
        <w:rPr>
          <w:rFonts w:hint="eastAsia" w:ascii="仿宋_GB2312" w:eastAsia="仿宋_GB2312" w:cs="Times New Roman"/>
          <w:sz w:val="32"/>
          <w:szCs w:val="32"/>
          <w:lang w:val="en-US" w:eastAsia="zh-CN"/>
        </w:rPr>
        <w:t>把</w:t>
      </w:r>
      <w:r>
        <w:rPr>
          <w:rFonts w:hint="eastAsia" w:ascii="仿宋_GB2312" w:hAnsi="Times New Roman" w:eastAsia="仿宋_GB2312" w:cs="Times New Roman"/>
          <w:sz w:val="32"/>
          <w:szCs w:val="32"/>
          <w:lang w:val="en-US" w:eastAsia="zh-CN"/>
        </w:rPr>
        <w:t>参与公益慈善活动</w:t>
      </w:r>
      <w:r>
        <w:rPr>
          <w:rFonts w:hint="eastAsia" w:ascii="仿宋_GB2312" w:eastAsia="仿宋_GB2312" w:cs="Times New Roman"/>
          <w:sz w:val="32"/>
          <w:szCs w:val="32"/>
          <w:lang w:val="en-US" w:eastAsia="zh-CN"/>
        </w:rPr>
        <w:t>作为</w:t>
      </w:r>
      <w:r>
        <w:rPr>
          <w:rFonts w:hint="eastAsia" w:ascii="仿宋_GB2312" w:hAnsi="Times New Roman" w:eastAsia="仿宋_GB2312" w:cs="Times New Roman"/>
          <w:sz w:val="32"/>
          <w:szCs w:val="32"/>
          <w:lang w:val="en-US" w:eastAsia="zh-CN"/>
        </w:rPr>
        <w:t>企业文化建设和企业战略的一部分。</w:t>
      </w:r>
      <w:r>
        <w:rPr>
          <w:rFonts w:hint="eastAsia" w:ascii="仿宋_GB2312" w:eastAsia="仿宋_GB2312" w:cs="Times New Roman"/>
          <w:sz w:val="32"/>
          <w:szCs w:val="32"/>
          <w:lang w:val="en-US" w:eastAsia="zh-CN"/>
        </w:rPr>
        <w:t>积极</w:t>
      </w:r>
      <w:r>
        <w:rPr>
          <w:rFonts w:hint="eastAsia" w:ascii="仿宋_GB2312" w:hAnsi="Times New Roman" w:eastAsia="仿宋_GB2312" w:cs="Times New Roman"/>
          <w:sz w:val="32"/>
          <w:szCs w:val="32"/>
          <w:lang w:val="en-US" w:eastAsia="zh-CN"/>
        </w:rPr>
        <w:t>参与公益活动，增加员工之间的凝聚力，展现</w:t>
      </w:r>
      <w:r>
        <w:rPr>
          <w:rFonts w:hint="eastAsia" w:ascii="仿宋_GB2312" w:eastAsia="仿宋_GB2312"/>
          <w:sz w:val="32"/>
          <w:szCs w:val="32"/>
          <w:lang w:val="en-US" w:eastAsia="zh-CN"/>
        </w:rPr>
        <w:t>营业部</w:t>
      </w:r>
      <w:r>
        <w:rPr>
          <w:rFonts w:hint="eastAsia" w:ascii="仿宋_GB2312" w:hAnsi="Times New Roman" w:eastAsia="仿宋_GB2312" w:cs="Times New Roman"/>
          <w:sz w:val="32"/>
          <w:szCs w:val="32"/>
          <w:lang w:val="en-US" w:eastAsia="zh-CN"/>
        </w:rPr>
        <w:t>实力，吸引</w:t>
      </w:r>
      <w:r>
        <w:rPr>
          <w:rFonts w:hint="eastAsia" w:ascii="仿宋_GB2312" w:eastAsia="仿宋_GB2312" w:cs="Times New Roman"/>
          <w:sz w:val="32"/>
          <w:szCs w:val="32"/>
          <w:lang w:val="en-US" w:eastAsia="zh-CN"/>
        </w:rPr>
        <w:t>更多</w:t>
      </w:r>
      <w:r>
        <w:rPr>
          <w:rFonts w:hint="eastAsia" w:ascii="仿宋_GB2312" w:hAnsi="Times New Roman" w:eastAsia="仿宋_GB2312" w:cs="Times New Roman"/>
          <w:sz w:val="32"/>
          <w:szCs w:val="32"/>
          <w:lang w:val="en-US" w:eastAsia="zh-CN"/>
        </w:rPr>
        <w:t>优秀的人才。</w:t>
      </w:r>
    </w:p>
    <w:p>
      <w:pPr>
        <w:pStyle w:val="2"/>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lang w:val="en-US" w:eastAsia="zh-CN"/>
        </w:rPr>
      </w:pPr>
    </w:p>
    <w:p>
      <w:pPr>
        <w:pStyle w:val="2"/>
        <w:numPr>
          <w:ilvl w:val="0"/>
          <w:numId w:val="2"/>
        </w:numPr>
        <w:ind w:left="0" w:leftChars="0" w:firstLine="960" w:firstLineChars="300"/>
        <w:outlineLvl w:val="0"/>
        <w:rPr>
          <w:rFonts w:hint="default" w:ascii="黑体" w:eastAsia="黑体" w:cs="Times New Roman"/>
          <w:sz w:val="32"/>
          <w:szCs w:val="32"/>
          <w:lang w:val="en-US" w:eastAsia="zh-CN"/>
        </w:rPr>
      </w:pPr>
      <w:bookmarkStart w:id="100" w:name="_Toc31288"/>
      <w:bookmarkStart w:id="101" w:name="_Toc2475"/>
      <w:bookmarkStart w:id="102" w:name="_Toc20446"/>
      <w:bookmarkStart w:id="103" w:name="_Toc1664"/>
      <w:bookmarkStart w:id="104" w:name="_Toc293"/>
      <w:bookmarkStart w:id="105" w:name="_Toc27521"/>
      <w:r>
        <w:rPr>
          <w:rFonts w:hint="eastAsia" w:ascii="黑体" w:eastAsia="黑体" w:cs="Times New Roman"/>
          <w:sz w:val="32"/>
          <w:szCs w:val="32"/>
          <w:lang w:val="en-US" w:eastAsia="zh-CN"/>
        </w:rPr>
        <w:t>报告结语</w:t>
      </w:r>
      <w:bookmarkEnd w:id="100"/>
      <w:bookmarkEnd w:id="101"/>
      <w:bookmarkEnd w:id="102"/>
      <w:bookmarkEnd w:id="103"/>
      <w:bookmarkEnd w:id="104"/>
      <w:bookmarkEnd w:id="105"/>
    </w:p>
    <w:p>
      <w:pPr>
        <w:pStyle w:val="2"/>
        <w:ind w:left="0" w:leftChars="0" w:firstLine="0" w:firstLineChars="0"/>
        <w:rPr>
          <w:rFonts w:hint="eastAsia" w:ascii="仿宋_GB2312" w:hAnsi="Times New Roman" w:eastAsia="仿宋_GB2312" w:cs="Times New Roman"/>
          <w:kern w:val="2"/>
          <w:sz w:val="32"/>
          <w:szCs w:val="32"/>
          <w:lang w:val="en-US" w:eastAsia="zh-CN" w:bidi="ar-SA"/>
        </w:rPr>
      </w:pPr>
      <w:r>
        <w:rPr>
          <w:rFonts w:hint="eastAsia" w:ascii="仿宋_GB2312"/>
          <w:sz w:val="32"/>
          <w:szCs w:val="32"/>
          <w:lang w:val="en-US" w:eastAsia="zh-CN"/>
        </w:rPr>
        <w:t xml:space="preserve">    </w:t>
      </w:r>
      <w:r>
        <w:rPr>
          <w:rFonts w:hint="eastAsia" w:ascii="仿宋_GB2312" w:hAnsi="Times New Roman" w:eastAsia="仿宋_GB2312" w:cs="Times New Roman"/>
          <w:kern w:val="2"/>
          <w:sz w:val="32"/>
          <w:szCs w:val="32"/>
          <w:lang w:val="en-US" w:eastAsia="zh-CN" w:bidi="ar-SA"/>
        </w:rPr>
        <w:t>企业社会责任工作是一项系统性的工程，践行企业社会责任的过程是一个不断提高和完善的过程。</w:t>
      </w:r>
      <w:r>
        <w:rPr>
          <w:rFonts w:hint="eastAsia" w:ascii="仿宋_GB2312" w:cs="Times New Roman"/>
          <w:kern w:val="2"/>
          <w:sz w:val="32"/>
          <w:szCs w:val="32"/>
          <w:lang w:val="en-US" w:eastAsia="zh-CN" w:bidi="ar-SA"/>
        </w:rPr>
        <w:t>2025年，</w:t>
      </w:r>
      <w:r>
        <w:rPr>
          <w:rFonts w:hint="eastAsia" w:ascii="仿宋_GB2312" w:eastAsia="仿宋_GB2312"/>
          <w:sz w:val="32"/>
          <w:szCs w:val="32"/>
          <w:lang w:val="en-US" w:eastAsia="zh-CN"/>
        </w:rPr>
        <w:t>营业部</w:t>
      </w:r>
      <w:r>
        <w:rPr>
          <w:rFonts w:hint="eastAsia" w:ascii="仿宋_GB2312" w:hAnsi="Times New Roman" w:eastAsia="仿宋_GB2312" w:cs="Times New Roman"/>
          <w:kern w:val="2"/>
          <w:sz w:val="32"/>
          <w:szCs w:val="32"/>
          <w:lang w:val="en-US" w:eastAsia="zh-CN" w:bidi="ar-SA"/>
        </w:rPr>
        <w:t>将不忘初心，牢记使命</w:t>
      </w:r>
      <w:r>
        <w:rPr>
          <w:rFonts w:hint="eastAsia" w:ascii="仿宋_GB2312" w:cs="Times New Roman"/>
          <w:kern w:val="2"/>
          <w:sz w:val="32"/>
          <w:szCs w:val="32"/>
          <w:lang w:val="en-US" w:eastAsia="zh-CN" w:bidi="ar-SA"/>
        </w:rPr>
        <w:t>，</w:t>
      </w:r>
      <w:r>
        <w:rPr>
          <w:rFonts w:hint="eastAsia" w:ascii="仿宋_GB2312" w:hAnsi="Times New Roman" w:eastAsia="仿宋_GB2312" w:cs="Times New Roman"/>
          <w:kern w:val="2"/>
          <w:sz w:val="32"/>
          <w:szCs w:val="32"/>
          <w:lang w:val="en-US" w:eastAsia="zh-CN" w:bidi="ar-SA"/>
        </w:rPr>
        <w:t>进一步完善企业社会责任管理体系建设，将企业社会责任和可持续发展的理念融入</w:t>
      </w:r>
      <w:r>
        <w:rPr>
          <w:rFonts w:hint="eastAsia" w:ascii="仿宋_GB2312" w:eastAsia="仿宋_GB2312"/>
          <w:sz w:val="32"/>
          <w:szCs w:val="32"/>
          <w:lang w:val="en-US" w:eastAsia="zh-CN"/>
        </w:rPr>
        <w:t>营业部</w:t>
      </w:r>
      <w:r>
        <w:rPr>
          <w:rFonts w:hint="eastAsia" w:ascii="仿宋_GB2312" w:hAnsi="Times New Roman" w:eastAsia="仿宋_GB2312" w:cs="Times New Roman"/>
          <w:kern w:val="2"/>
          <w:sz w:val="32"/>
          <w:szCs w:val="32"/>
          <w:lang w:val="en-US" w:eastAsia="zh-CN" w:bidi="ar-SA"/>
        </w:rPr>
        <w:t>经营的全过程</w:t>
      </w:r>
      <w:r>
        <w:rPr>
          <w:rFonts w:hint="eastAsia" w:ascii="仿宋_GB2312" w:cs="Times New Roman"/>
          <w:kern w:val="2"/>
          <w:sz w:val="32"/>
          <w:szCs w:val="32"/>
          <w:lang w:val="en-US" w:eastAsia="zh-CN" w:bidi="ar-SA"/>
        </w:rPr>
        <w:t>。</w:t>
      </w:r>
      <w:r>
        <w:rPr>
          <w:rFonts w:hint="eastAsia" w:ascii="仿宋_GB2312" w:hAnsi="Times New Roman" w:eastAsia="仿宋_GB2312" w:cs="Times New Roman"/>
          <w:kern w:val="2"/>
          <w:sz w:val="32"/>
          <w:szCs w:val="32"/>
          <w:lang w:val="en-US" w:eastAsia="zh-CN" w:bidi="ar-SA"/>
        </w:rPr>
        <w:t>主动适应经济发展新常态，积极应对新挑战，抓住发展机遇，推进社会责任与企业自身发展的深度融合</w:t>
      </w:r>
      <w:r>
        <w:rPr>
          <w:rFonts w:hint="eastAsia" w:ascii="仿宋_GB2312" w:cs="Times New Roman"/>
          <w:kern w:val="2"/>
          <w:sz w:val="32"/>
          <w:szCs w:val="32"/>
          <w:lang w:val="en-US" w:eastAsia="zh-CN" w:bidi="ar-SA"/>
        </w:rPr>
        <w:t>。</w:t>
      </w:r>
      <w:r>
        <w:rPr>
          <w:rFonts w:hint="eastAsia" w:ascii="仿宋_GB2312" w:hAnsi="Times New Roman" w:eastAsia="仿宋_GB2312" w:cs="Times New Roman"/>
          <w:kern w:val="2"/>
          <w:sz w:val="32"/>
          <w:szCs w:val="32"/>
          <w:lang w:val="en-US" w:eastAsia="zh-CN" w:bidi="ar-SA"/>
        </w:rPr>
        <w:t>用企业社会责任的担当理念梳理公司的使命、愿景和价值观，审视企业发展战略、经营模式和业务流程，将企业对利益相关方和自然环境的自认纳入管理体系，寻求共同进步和发展</w:t>
      </w:r>
      <w:r>
        <w:rPr>
          <w:rFonts w:hint="eastAsia" w:ascii="仿宋_GB2312" w:cs="Times New Roman"/>
          <w:kern w:val="2"/>
          <w:sz w:val="32"/>
          <w:szCs w:val="32"/>
          <w:lang w:val="en-US" w:eastAsia="zh-CN" w:bidi="ar-SA"/>
        </w:rPr>
        <w:t>。</w: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sectPr>
          <w:footerReference r:id="rId4" w:type="default"/>
          <w:pgSz w:w="11906" w:h="16838"/>
          <w:pgMar w:top="1440" w:right="1800" w:bottom="1440" w:left="1800" w:header="851" w:footer="992" w:gutter="0"/>
          <w:pgNumType w:start="1"/>
          <w:cols w:space="720" w:num="1"/>
          <w:docGrid w:type="lines" w:linePitch="312" w:charSpace="0"/>
        </w:sect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p>
    <w:p>
      <w:pPr>
        <w:pStyle w:val="2"/>
        <w:ind w:left="0" w:leftChars="0" w:firstLine="0" w:firstLineChars="0"/>
        <w:jc w:val="both"/>
        <w:rPr>
          <w:rFonts w:hint="eastAsia" w:ascii="宋体" w:hAnsi="宋体" w:eastAsia="宋体" w:cs="宋体"/>
          <w:lang w:val="en-US" w:eastAsia="zh-CN"/>
        </w:rPr>
      </w:pPr>
    </w:p>
    <w:p>
      <w:pPr>
        <w:pStyle w:val="2"/>
        <w:ind w:left="0" w:leftChars="0" w:firstLine="0" w:firstLineChars="0"/>
        <w:jc w:val="both"/>
        <w:rPr>
          <w:rFonts w:hint="eastAsia" w:ascii="宋体" w:hAnsi="宋体" w:eastAsia="宋体" w:cs="宋体"/>
          <w:lang w:val="en-US" w:eastAsia="zh-CN"/>
        </w:rPr>
      </w:pPr>
    </w:p>
    <w:p>
      <w:pPr>
        <w:pStyle w:val="2"/>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电话：0553-3856736</w:t>
      </w:r>
    </w:p>
    <w:p>
      <w:pPr>
        <w:pStyle w:val="2"/>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t>地址：安徽省芜湖市弋江区中山南路307号国贸长江DS-3#楼01室</w:t>
      </w:r>
    </w:p>
    <w:sectPr>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sz w:val="18"/>
      </w:rPr>
    </w:pPr>
  </w:p>
  <w:p>
    <w:pPr>
      <w:pStyle w:val="10"/>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7960" cy="1828800"/>
              <wp:effectExtent l="0" t="0" r="0" b="0"/>
              <wp:wrapNone/>
              <wp:docPr id="15" name="文本框 2"/>
              <wp:cNvGraphicFramePr/>
              <a:graphic xmlns:a="http://schemas.openxmlformats.org/drawingml/2006/main">
                <a:graphicData uri="http://schemas.microsoft.com/office/word/2010/wordprocessingShape">
                  <wps:wsp>
                    <wps:cNvSpPr txBox="1"/>
                    <wps:spPr>
                      <a:xfrm>
                        <a:off x="0" y="0"/>
                        <a:ext cx="187960" cy="1828800"/>
                      </a:xfrm>
                      <a:prstGeom prst="rect">
                        <a:avLst/>
                      </a:prstGeom>
                      <a:noFill/>
                      <a:ln>
                        <a:noFill/>
                      </a:ln>
                    </wps:spPr>
                    <wps:txbx>
                      <w:txbxContent>
                        <w:p>
                          <w:pPr>
                            <w:pStyle w:val="10"/>
                            <w:rPr>
                              <w:rStyle w:val="18"/>
                            </w:rPr>
                          </w:pPr>
                          <w:r>
                            <w:fldChar w:fldCharType="begin"/>
                          </w:r>
                          <w:r>
                            <w:rPr>
                              <w:rStyle w:val="18"/>
                            </w:rPr>
                            <w:instrText xml:space="preserve">PAGE  </w:instrText>
                          </w:r>
                          <w:r>
                            <w:fldChar w:fldCharType="separate"/>
                          </w:r>
                          <w:r>
                            <w:rPr>
                              <w:rStyle w:val="18"/>
                            </w:rPr>
                            <w:t>8</w:t>
                          </w:r>
                          <w:r>
                            <w:fldChar w:fldCharType="end"/>
                          </w:r>
                        </w:p>
                      </w:txbxContent>
                    </wps:txbx>
                    <wps:bodyPr wrap="square" lIns="0" tIns="0" rIns="0" bIns="0" upright="0">
                      <a:spAutoFit/>
                    </wps:bodyPr>
                  </wps:wsp>
                </a:graphicData>
              </a:graphic>
            </wp:anchor>
          </w:drawing>
        </mc:Choice>
        <mc:Fallback>
          <w:pict>
            <v:shape id="文本框 2" o:spid="_x0000_s1026" o:spt="202" type="#_x0000_t202" style="position:absolute;left:0pt;margin-top:0pt;height:144pt;width:14.8pt;mso-position-horizontal:center;mso-position-horizontal-relative:margin;z-index:251659264;mso-width-relative:page;mso-height-relative:page;" filled="f" stroked="f" coordsize="21600,21600" o:gfxdata="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S5knM0gAAAAQBAAAPAAAAAAAAAAEAIAAAACIAAABkcnMv&#10;ZG93bnJldi54bWxQSwECFAAUAAAACACHTuJAkDJrKdABAACbAwAADgAAAAAAAAABACAAAAAhAQAA&#10;ZHJzL2Uyb0RvYy54bWxQSwUGAAAAAAYABgBZAQAAYwUAAAAA&#10;">
              <v:fill on="f" focussize="0,0"/>
              <v:stroke on="f"/>
              <v:imagedata o:title=""/>
              <o:lock v:ext="edit" aspectratio="f"/>
              <v:textbox inset="0mm,0mm,0mm,0mm" style="mso-fit-shape-to-text:t;">
                <w:txbxContent>
                  <w:p>
                    <w:pPr>
                      <w:pStyle w:val="10"/>
                      <w:rPr>
                        <w:rStyle w:val="18"/>
                      </w:rPr>
                    </w:pPr>
                    <w:r>
                      <w:fldChar w:fldCharType="begin"/>
                    </w:r>
                    <w:r>
                      <w:rPr>
                        <w:rStyle w:val="18"/>
                      </w:rPr>
                      <w:instrText xml:space="preserve">PAGE  </w:instrText>
                    </w:r>
                    <w:r>
                      <w:fldChar w:fldCharType="separate"/>
                    </w:r>
                    <w:r>
                      <w:rPr>
                        <w:rStyle w:val="18"/>
                      </w:rPr>
                      <w:t>8</w:t>
                    </w:r>
                    <w:r>
                      <w:fldChar w:fldCharType="end"/>
                    </w:r>
                  </w:p>
                </w:txbxContent>
              </v:textbox>
            </v:shape>
          </w:pict>
        </mc:Fallback>
      </mc:AlternateContent>
    </w:r>
  </w:p>
  <w:p>
    <w:pPr>
      <w:pStyle w:val="10"/>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sz w:val="18"/>
      </w:rPr>
    </w:pPr>
  </w:p>
  <w:p>
    <w:pPr>
      <w:pStyle w:val="10"/>
      <w:rPr>
        <w:sz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C3ABB5"/>
    <w:multiLevelType w:val="singleLevel"/>
    <w:tmpl w:val="B7C3ABB5"/>
    <w:lvl w:ilvl="0" w:tentative="0">
      <w:start w:val="6"/>
      <w:numFmt w:val="chineseCounting"/>
      <w:suff w:val="nothing"/>
      <w:lvlText w:val="%1、"/>
      <w:lvlJc w:val="left"/>
      <w:rPr>
        <w:rFonts w:hint="eastAsia"/>
      </w:rPr>
    </w:lvl>
  </w:abstractNum>
  <w:abstractNum w:abstractNumId="1">
    <w:nsid w:val="F1CF0415"/>
    <w:multiLevelType w:val="singleLevel"/>
    <w:tmpl w:val="F1CF0415"/>
    <w:lvl w:ilvl="0" w:tentative="0">
      <w:start w:val="4"/>
      <w:numFmt w:val="decimal"/>
      <w:suff w:val="nothing"/>
      <w:lvlText w:val="%1、"/>
      <w:lvlJc w:val="left"/>
      <w:rPr>
        <w:rFonts w:hint="default"/>
        <w:b w:val="0"/>
        <w:bCs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1"/>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1AD"/>
    <w:rsid w:val="0002291B"/>
    <w:rsid w:val="000426BA"/>
    <w:rsid w:val="000A7879"/>
    <w:rsid w:val="000A7903"/>
    <w:rsid w:val="00116F7B"/>
    <w:rsid w:val="001E71AD"/>
    <w:rsid w:val="00206FA2"/>
    <w:rsid w:val="00332C0A"/>
    <w:rsid w:val="0037193D"/>
    <w:rsid w:val="003839E6"/>
    <w:rsid w:val="003B4CC0"/>
    <w:rsid w:val="003C303E"/>
    <w:rsid w:val="004246D3"/>
    <w:rsid w:val="00462AB0"/>
    <w:rsid w:val="00471594"/>
    <w:rsid w:val="004A542D"/>
    <w:rsid w:val="004F6F00"/>
    <w:rsid w:val="00526E1E"/>
    <w:rsid w:val="0053415C"/>
    <w:rsid w:val="00540E00"/>
    <w:rsid w:val="005436C8"/>
    <w:rsid w:val="0054384F"/>
    <w:rsid w:val="005446D1"/>
    <w:rsid w:val="00576C55"/>
    <w:rsid w:val="005C2021"/>
    <w:rsid w:val="005D5447"/>
    <w:rsid w:val="00625360"/>
    <w:rsid w:val="00676A29"/>
    <w:rsid w:val="006832C9"/>
    <w:rsid w:val="006B3145"/>
    <w:rsid w:val="00751075"/>
    <w:rsid w:val="00806E38"/>
    <w:rsid w:val="00816FEA"/>
    <w:rsid w:val="00856AD0"/>
    <w:rsid w:val="008643CE"/>
    <w:rsid w:val="008B3710"/>
    <w:rsid w:val="00987D53"/>
    <w:rsid w:val="009B6BC0"/>
    <w:rsid w:val="009C38ED"/>
    <w:rsid w:val="009C7C29"/>
    <w:rsid w:val="009D3024"/>
    <w:rsid w:val="00A549EE"/>
    <w:rsid w:val="00B06DD6"/>
    <w:rsid w:val="00B565E2"/>
    <w:rsid w:val="00B64DB9"/>
    <w:rsid w:val="00BD04E7"/>
    <w:rsid w:val="00C36D1D"/>
    <w:rsid w:val="00C5330D"/>
    <w:rsid w:val="00C97A0C"/>
    <w:rsid w:val="00DB2B05"/>
    <w:rsid w:val="00DD0442"/>
    <w:rsid w:val="00EC0975"/>
    <w:rsid w:val="00ED6D88"/>
    <w:rsid w:val="00F41415"/>
    <w:rsid w:val="00F91A50"/>
    <w:rsid w:val="012E0F13"/>
    <w:rsid w:val="01D56E30"/>
    <w:rsid w:val="02464A5E"/>
    <w:rsid w:val="05537DE3"/>
    <w:rsid w:val="075E73BC"/>
    <w:rsid w:val="07C36CE9"/>
    <w:rsid w:val="095234D1"/>
    <w:rsid w:val="09E75B73"/>
    <w:rsid w:val="0AA93ABC"/>
    <w:rsid w:val="0B812039"/>
    <w:rsid w:val="0C5A4DCB"/>
    <w:rsid w:val="0D2A2864"/>
    <w:rsid w:val="0E055DCD"/>
    <w:rsid w:val="0F854811"/>
    <w:rsid w:val="10132BD7"/>
    <w:rsid w:val="1263326B"/>
    <w:rsid w:val="128A73C6"/>
    <w:rsid w:val="13894B4A"/>
    <w:rsid w:val="1740022A"/>
    <w:rsid w:val="18C26CFF"/>
    <w:rsid w:val="1A694B76"/>
    <w:rsid w:val="1AA628C9"/>
    <w:rsid w:val="1AB07FDB"/>
    <w:rsid w:val="1B747F0B"/>
    <w:rsid w:val="1C1047E2"/>
    <w:rsid w:val="1C6A5225"/>
    <w:rsid w:val="1D5C5299"/>
    <w:rsid w:val="1DBE3F86"/>
    <w:rsid w:val="1E025946"/>
    <w:rsid w:val="1E372CCB"/>
    <w:rsid w:val="1F2E56D2"/>
    <w:rsid w:val="1F3D3A1B"/>
    <w:rsid w:val="20AC0531"/>
    <w:rsid w:val="217D2C93"/>
    <w:rsid w:val="220806B5"/>
    <w:rsid w:val="23537571"/>
    <w:rsid w:val="24390F8D"/>
    <w:rsid w:val="261F0837"/>
    <w:rsid w:val="286E3DC0"/>
    <w:rsid w:val="28A73D54"/>
    <w:rsid w:val="296F31DA"/>
    <w:rsid w:val="2A257AE4"/>
    <w:rsid w:val="2BBF1A1C"/>
    <w:rsid w:val="2BCF1486"/>
    <w:rsid w:val="2BD829FE"/>
    <w:rsid w:val="2C642519"/>
    <w:rsid w:val="2D0E7CD9"/>
    <w:rsid w:val="2E5E10F4"/>
    <w:rsid w:val="305226FB"/>
    <w:rsid w:val="30C26E5F"/>
    <w:rsid w:val="319335A0"/>
    <w:rsid w:val="31D17EF1"/>
    <w:rsid w:val="3260395B"/>
    <w:rsid w:val="32D21E1A"/>
    <w:rsid w:val="33C47D1A"/>
    <w:rsid w:val="33FA09EC"/>
    <w:rsid w:val="34F35CA0"/>
    <w:rsid w:val="35660890"/>
    <w:rsid w:val="35932C8D"/>
    <w:rsid w:val="3605496B"/>
    <w:rsid w:val="36511083"/>
    <w:rsid w:val="3666792B"/>
    <w:rsid w:val="3727523F"/>
    <w:rsid w:val="37701952"/>
    <w:rsid w:val="3823561E"/>
    <w:rsid w:val="384D5445"/>
    <w:rsid w:val="38F53C63"/>
    <w:rsid w:val="3A086827"/>
    <w:rsid w:val="3A19191C"/>
    <w:rsid w:val="3A33640D"/>
    <w:rsid w:val="3A635855"/>
    <w:rsid w:val="3AFF2D49"/>
    <w:rsid w:val="3BC964D9"/>
    <w:rsid w:val="3C0748BD"/>
    <w:rsid w:val="3D0E7181"/>
    <w:rsid w:val="3D2C5B92"/>
    <w:rsid w:val="3D65542D"/>
    <w:rsid w:val="3DA3692C"/>
    <w:rsid w:val="3E027EEC"/>
    <w:rsid w:val="3E145D5D"/>
    <w:rsid w:val="3EA36D8B"/>
    <w:rsid w:val="412D6FB3"/>
    <w:rsid w:val="438A5376"/>
    <w:rsid w:val="44535FF3"/>
    <w:rsid w:val="44932B13"/>
    <w:rsid w:val="45F879F6"/>
    <w:rsid w:val="46115622"/>
    <w:rsid w:val="46615F34"/>
    <w:rsid w:val="4980152A"/>
    <w:rsid w:val="4BC138FA"/>
    <w:rsid w:val="4CA400D8"/>
    <w:rsid w:val="4D337858"/>
    <w:rsid w:val="4D52652B"/>
    <w:rsid w:val="4E722079"/>
    <w:rsid w:val="4FBE4ADA"/>
    <w:rsid w:val="519B1263"/>
    <w:rsid w:val="545B31CB"/>
    <w:rsid w:val="54A71ACB"/>
    <w:rsid w:val="56243C73"/>
    <w:rsid w:val="57DD6CAF"/>
    <w:rsid w:val="57ED79A1"/>
    <w:rsid w:val="599335EF"/>
    <w:rsid w:val="5A0D20C9"/>
    <w:rsid w:val="5B8B7035"/>
    <w:rsid w:val="5E575B93"/>
    <w:rsid w:val="5F9E1219"/>
    <w:rsid w:val="5FAC6441"/>
    <w:rsid w:val="5FB537AB"/>
    <w:rsid w:val="60B65EB9"/>
    <w:rsid w:val="60D0162A"/>
    <w:rsid w:val="61A57E99"/>
    <w:rsid w:val="630D416B"/>
    <w:rsid w:val="659D75A8"/>
    <w:rsid w:val="68B921AE"/>
    <w:rsid w:val="6BAB5731"/>
    <w:rsid w:val="6BE13392"/>
    <w:rsid w:val="6C6472BA"/>
    <w:rsid w:val="6C9C4AEF"/>
    <w:rsid w:val="6D8474BC"/>
    <w:rsid w:val="6E2C2F73"/>
    <w:rsid w:val="6E937F2A"/>
    <w:rsid w:val="6EDE097B"/>
    <w:rsid w:val="6F274DF5"/>
    <w:rsid w:val="71EE64C6"/>
    <w:rsid w:val="728A0E8F"/>
    <w:rsid w:val="73E0748E"/>
    <w:rsid w:val="741409B0"/>
    <w:rsid w:val="75AC7A5E"/>
    <w:rsid w:val="76D86F37"/>
    <w:rsid w:val="7732281D"/>
    <w:rsid w:val="77BC1211"/>
    <w:rsid w:val="77C071BC"/>
    <w:rsid w:val="791F76B2"/>
    <w:rsid w:val="7A2512F6"/>
    <w:rsid w:val="7A3D2D80"/>
    <w:rsid w:val="7B9C495B"/>
    <w:rsid w:val="7C2C462A"/>
    <w:rsid w:val="7CE043F9"/>
    <w:rsid w:val="7D836E88"/>
    <w:rsid w:val="7EBD79FB"/>
    <w:rsid w:val="7F0C47D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5">
    <w:name w:val="heading 2"/>
    <w:basedOn w:val="1"/>
    <w:next w:val="1"/>
    <w:link w:val="22"/>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link w:val="23"/>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link w:val="24"/>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Times New Roman" w:hAnsi="Times New Roman"/>
    </w:rPr>
  </w:style>
  <w:style w:type="paragraph" w:styleId="3">
    <w:name w:val="Body Text Indent"/>
    <w:basedOn w:val="1"/>
    <w:link w:val="20"/>
    <w:qFormat/>
    <w:uiPriority w:val="0"/>
    <w:pPr>
      <w:ind w:left="1120" w:hanging="1120" w:hangingChars="400"/>
    </w:pPr>
    <w:rPr>
      <w:rFonts w:ascii="仿宋_GB2312" w:eastAsia="仿宋_GB2312"/>
      <w:sz w:val="28"/>
    </w:rPr>
  </w:style>
  <w:style w:type="paragraph" w:styleId="8">
    <w:name w:val="Document Map"/>
    <w:basedOn w:val="1"/>
    <w:semiHidden/>
    <w:qFormat/>
    <w:uiPriority w:val="0"/>
    <w:pPr>
      <w:shd w:val="clear" w:color="auto" w:fill="000080"/>
    </w:pPr>
  </w:style>
  <w:style w:type="paragraph" w:styleId="9">
    <w:name w:val="toc 3"/>
    <w:basedOn w:val="1"/>
    <w:next w:val="1"/>
    <w:link w:val="25"/>
    <w:qFormat/>
    <w:uiPriority w:val="0"/>
    <w:pPr>
      <w:ind w:left="840" w:leftChars="400"/>
    </w:p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link w:val="27"/>
    <w:qFormat/>
    <w:uiPriority w:val="0"/>
  </w:style>
  <w:style w:type="paragraph" w:styleId="13">
    <w:name w:val="toc 2"/>
    <w:basedOn w:val="1"/>
    <w:next w:val="1"/>
    <w:link w:val="28"/>
    <w:qFormat/>
    <w:uiPriority w:val="0"/>
    <w:pPr>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Hyperlink"/>
    <w:basedOn w:val="17"/>
    <w:qFormat/>
    <w:uiPriority w:val="0"/>
    <w:rPr>
      <w:color w:val="0163AF"/>
      <w:u w:val="single"/>
    </w:rPr>
  </w:style>
  <w:style w:type="character" w:customStyle="1" w:styleId="20">
    <w:name w:val="正文文本缩进 Char"/>
    <w:link w:val="3"/>
    <w:qFormat/>
    <w:uiPriority w:val="0"/>
    <w:rPr>
      <w:rFonts w:ascii="仿宋_GB2312" w:eastAsia="仿宋_GB2312"/>
      <w:sz w:val="28"/>
    </w:rPr>
  </w:style>
  <w:style w:type="character" w:customStyle="1" w:styleId="21">
    <w:name w:val="标题 1 Char"/>
    <w:link w:val="4"/>
    <w:qFormat/>
    <w:uiPriority w:val="0"/>
    <w:rPr>
      <w:rFonts w:hint="eastAsia" w:ascii="宋体" w:hAnsi="宋体" w:eastAsia="宋体" w:cs="宋体"/>
      <w:b/>
      <w:kern w:val="44"/>
      <w:sz w:val="48"/>
      <w:szCs w:val="48"/>
      <w:lang w:val="en-US" w:eastAsia="zh-CN" w:bidi="ar"/>
    </w:rPr>
  </w:style>
  <w:style w:type="character" w:customStyle="1" w:styleId="22">
    <w:name w:val="标题 2 Char"/>
    <w:link w:val="5"/>
    <w:qFormat/>
    <w:uiPriority w:val="0"/>
    <w:rPr>
      <w:rFonts w:ascii="Arial" w:hAnsi="Arial" w:eastAsia="黑体"/>
      <w:b/>
      <w:sz w:val="32"/>
    </w:rPr>
  </w:style>
  <w:style w:type="character" w:customStyle="1" w:styleId="23">
    <w:name w:val="标题 3 Char"/>
    <w:link w:val="6"/>
    <w:qFormat/>
    <w:uiPriority w:val="0"/>
    <w:rPr>
      <w:b/>
      <w:sz w:val="32"/>
    </w:rPr>
  </w:style>
  <w:style w:type="character" w:customStyle="1" w:styleId="24">
    <w:name w:val="标题 4 Char"/>
    <w:link w:val="7"/>
    <w:qFormat/>
    <w:uiPriority w:val="0"/>
    <w:rPr>
      <w:rFonts w:ascii="Arial" w:hAnsi="Arial" w:eastAsia="黑体"/>
      <w:b/>
      <w:sz w:val="28"/>
    </w:rPr>
  </w:style>
  <w:style w:type="character" w:customStyle="1" w:styleId="25">
    <w:name w:val="目录 3 Char"/>
    <w:link w:val="9"/>
    <w:qFormat/>
    <w:uiPriority w:val="0"/>
  </w:style>
  <w:style w:type="character" w:customStyle="1" w:styleId="26">
    <w:name w:val="页眉 Char"/>
    <w:basedOn w:val="17"/>
    <w:link w:val="11"/>
    <w:qFormat/>
    <w:uiPriority w:val="0"/>
    <w:rPr>
      <w:kern w:val="2"/>
      <w:sz w:val="18"/>
      <w:szCs w:val="18"/>
    </w:rPr>
  </w:style>
  <w:style w:type="character" w:customStyle="1" w:styleId="27">
    <w:name w:val="目录 1 Char"/>
    <w:link w:val="12"/>
    <w:qFormat/>
    <w:uiPriority w:val="0"/>
  </w:style>
  <w:style w:type="character" w:customStyle="1" w:styleId="28">
    <w:name w:val="目录 2 Char"/>
    <w:link w:val="13"/>
    <w:qFormat/>
    <w:uiPriority w:val="0"/>
  </w:style>
  <w:style w:type="character" w:customStyle="1" w:styleId="29">
    <w:name w:val="apple-converted-space"/>
    <w:basedOn w:val="17"/>
    <w:qFormat/>
    <w:uiPriority w:val="0"/>
  </w:style>
  <w:style w:type="paragraph" w:customStyle="1" w:styleId="30">
    <w:name w:val="WPSOffice手动目录 1"/>
    <w:qFormat/>
    <w:uiPriority w:val="0"/>
    <w:pPr>
      <w:ind w:leftChars="0"/>
    </w:pPr>
    <w:rPr>
      <w:rFonts w:ascii="Times New Roman" w:hAnsi="Times New Roman" w:eastAsia="宋体" w:cs="Times New Roman"/>
      <w:sz w:val="20"/>
      <w:szCs w:val="20"/>
    </w:rPr>
  </w:style>
  <w:style w:type="paragraph" w:customStyle="1" w:styleId="31">
    <w:name w:val="WPSOffice手动目录 2"/>
    <w:qFormat/>
    <w:uiPriority w:val="0"/>
    <w:pPr>
      <w:ind w:leftChars="200"/>
    </w:pPr>
    <w:rPr>
      <w:rFonts w:ascii="Times New Roman" w:hAnsi="Times New Roman" w:eastAsia="宋体" w:cs="Times New Roman"/>
      <w:sz w:val="20"/>
      <w:szCs w:val="20"/>
    </w:rPr>
  </w:style>
  <w:style w:type="paragraph" w:customStyle="1" w:styleId="32">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5090</Words>
  <Characters>5309</Characters>
  <Lines>31</Lines>
  <Paragraphs>8</Paragraphs>
  <TotalTime>142</TotalTime>
  <ScaleCrop>false</ScaleCrop>
  <LinksUpToDate>false</LinksUpToDate>
  <CharactersWithSpaces>5411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2016-08-09T13:36:00Z</dcterms:created>
  <dc:creator>Administrator</dc:creator>
  <cp:lastModifiedBy>李晶金：起草</cp:lastModifiedBy>
  <cp:lastPrinted>2018-03-24T02:58:00Z</cp:lastPrinted>
  <dcterms:modified xsi:type="dcterms:W3CDTF">2025-07-02T05:31:25Z</dcterms:modified>
  <dc:title>芜湖市中泰证券股份有限公司2016年企业社会责任报告发布概述</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1B79FC6CAE2844809597C240CA9D3F3B</vt:lpwstr>
  </property>
  <property fmtid="{D5CDD505-2E9C-101B-9397-08002B2CF9AE}" pid="4" name="KSOTemplateDocerSaveRecord">
    <vt:lpwstr>eyJoZGlkIjoiNTE4ODQwOWM1MjgyYzczNzNmZjM2N2M1NWY1NDQ3OWQifQ==</vt:lpwstr>
  </property>
</Properties>
</file>